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Ind w:type="dxa" w:w="-108"/>
      </w:tblPr>
      <w:tblGrid>
        <w:gridCol w:w="4517"/>
        <w:gridCol w:w="1"/>
      </w:tblGrid>
      <w:tr>
        <w:trPr>
          <w:trHeight w:hRule="atLeast" w:val="427"/>
          <w:cantSplit w:val="false"/>
        </w:trPr>
        <w:tc>
          <w:tcPr>
            <w:tcW w:type="dxa" w:w="4517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 xml:space="preserve">Име и презиме </w:t>
            </w:r>
          </w:p>
        </w:tc>
        <w:tc>
          <w:tcPr>
            <w:tcW w:type="dxa" w:w="1"/>
            <w:gridSpan w:val="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-"/>
              </w:rPr>
              <w:t>Едиб Добарџић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4517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>Звање</w:t>
            </w:r>
          </w:p>
        </w:tc>
        <w:tc>
          <w:tcPr>
            <w:tcW w:type="dxa" w:w="1"/>
            <w:gridSpan w:val="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Ванредни професор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4517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>радним временом и од када</w:t>
            </w:r>
          </w:p>
        </w:tc>
        <w:tc>
          <w:tcPr>
            <w:tcW w:type="dxa" w:w="1"/>
            <w:gridSpan w:val="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Физички факултет, Универзитет у Београду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4517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>Ужа научна односно уметничка област</w:t>
            </w:r>
          </w:p>
        </w:tc>
        <w:tc>
          <w:tcPr>
            <w:tcW w:type="dxa" w:w="1"/>
            <w:gridSpan w:val="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Квантна и математичка физика, Теорија кондензоване материје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577"/>
            <w:gridSpan w:val="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>Академска каријера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395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0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 xml:space="preserve">Година </w:t>
            </w:r>
          </w:p>
        </w:tc>
        <w:tc>
          <w:tcPr>
            <w:tcW w:type="dxa" w:w="2065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 xml:space="preserve">Институција </w:t>
            </w:r>
          </w:p>
        </w:tc>
        <w:tc>
          <w:tcPr>
            <w:tcW w:type="dxa" w:w="1926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>
              <w:rPr>
                <w:rFonts w:ascii="Times New Roman" w:hAnsi="Times New Roman"/>
                <w:sz w:val="20"/>
                <w:szCs w:val="20"/>
                <w:lang w:val="sr-RS"/>
              </w:rPr>
              <w:t xml:space="preserve">бласт </w:t>
            </w:r>
          </w:p>
        </w:tc>
        <w:tc>
          <w:tcPr>
            <w:tcW w:type="dxa" w:w="485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395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Избор у звање</w:t>
            </w:r>
          </w:p>
        </w:tc>
        <w:tc>
          <w:tcPr>
            <w:tcW w:type="dxa" w:w="10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17.12.2012</w:t>
            </w:r>
          </w:p>
        </w:tc>
        <w:tc>
          <w:tcPr>
            <w:tcW w:type="dxa" w:w="2065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926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485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Квантна и математичка физика, Теорија кондензоване материје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395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Докторат</w:t>
            </w:r>
          </w:p>
        </w:tc>
        <w:tc>
          <w:tcPr>
            <w:tcW w:type="dxa" w:w="10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11.11.2006</w:t>
            </w:r>
          </w:p>
        </w:tc>
        <w:tc>
          <w:tcPr>
            <w:tcW w:type="dxa" w:w="2065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926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485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Квантна и математичка физика, Теорија кондензоване материје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395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Специјализација</w:t>
            </w:r>
          </w:p>
        </w:tc>
        <w:tc>
          <w:tcPr>
            <w:tcW w:type="dxa" w:w="10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2065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926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485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395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Магистратура</w:t>
            </w:r>
          </w:p>
        </w:tc>
        <w:tc>
          <w:tcPr>
            <w:tcW w:type="dxa" w:w="10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11.7.2003</w:t>
            </w:r>
          </w:p>
        </w:tc>
        <w:tc>
          <w:tcPr>
            <w:tcW w:type="dxa" w:w="2065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926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485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Квантна и математичка физика, Теорија кондензоване материје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395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type="dxa" w:w="10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2065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926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485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395"/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Диплома</w:t>
            </w:r>
          </w:p>
        </w:tc>
        <w:tc>
          <w:tcPr>
            <w:tcW w:type="dxa" w:w="10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1.10.1999</w:t>
            </w:r>
          </w:p>
        </w:tc>
        <w:tc>
          <w:tcPr>
            <w:tcW w:type="dxa" w:w="2065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926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485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Квантна и математичка физика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577"/>
            <w:gridSpan w:val="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>
        <w:trPr>
          <w:trHeight w:hRule="atLeast" w:val="822"/>
          <w:cantSplit w:val="false"/>
        </w:trPr>
        <w:tc>
          <w:tcPr>
            <w:tcW w:type="dxa" w:w="8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Р.Б.</w:t>
            </w:r>
          </w:p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>
              <w:rPr>
                <w:rFonts w:ascii="Times New Roman" w:hAnsi="Times New Roman"/>
                <w:sz w:val="20"/>
                <w:szCs w:val="20"/>
                <w:lang w:val="sr-RS"/>
              </w:rPr>
              <w:t>.</w:t>
            </w:r>
          </w:p>
        </w:tc>
        <w:tc>
          <w:tcPr>
            <w:tcW w:type="dxa" w:w="108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type="dxa" w:w="2731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>
              <w:rPr>
                <w:rFonts w:ascii="Times New Roman" w:hAnsi="Times New Roman"/>
                <w:iCs/>
                <w:sz w:val="20"/>
                <w:szCs w:val="20"/>
                <w:lang w:val="sr-RS"/>
              </w:rPr>
              <w:t xml:space="preserve">     </w:t>
            </w:r>
          </w:p>
        </w:tc>
        <w:tc>
          <w:tcPr>
            <w:tcW w:type="dxa" w:w="146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type="dxa" w:w="168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type="dxa" w:w="16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RS"/>
              </w:rPr>
              <w:t>рста студија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8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type="dxa" w:w="108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2731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Квантна теоријска физика</w:t>
            </w:r>
          </w:p>
        </w:tc>
        <w:tc>
          <w:tcPr>
            <w:tcW w:type="dxa" w:w="146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предавања</w:t>
            </w:r>
          </w:p>
        </w:tc>
        <w:tc>
          <w:tcPr>
            <w:tcW w:type="dxa" w:w="168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Општа физика, Примењена физика, Астрофизика</w:t>
            </w:r>
          </w:p>
        </w:tc>
        <w:tc>
          <w:tcPr>
            <w:tcW w:type="dxa" w:w="16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ОАС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8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type="dxa" w:w="108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2731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Апликативни софтвер</w:t>
            </w:r>
          </w:p>
        </w:tc>
        <w:tc>
          <w:tcPr>
            <w:tcW w:type="dxa" w:w="146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предавања</w:t>
            </w:r>
          </w:p>
        </w:tc>
        <w:tc>
          <w:tcPr>
            <w:tcW w:type="dxa" w:w="168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Општа физика, Теоријска и експериментална физика, Примењена физика</w:t>
            </w:r>
          </w:p>
        </w:tc>
        <w:tc>
          <w:tcPr>
            <w:tcW w:type="dxa" w:w="16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ОАС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8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type="dxa" w:w="108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2731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Интернет технологије и програмирање интернет страница</w:t>
            </w:r>
          </w:p>
        </w:tc>
        <w:tc>
          <w:tcPr>
            <w:tcW w:type="dxa" w:w="146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предавања</w:t>
            </w:r>
          </w:p>
        </w:tc>
        <w:tc>
          <w:tcPr>
            <w:tcW w:type="dxa" w:w="168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Општа физика, Теоријска и експериментална физика, Примењена физика</w:t>
            </w:r>
          </w:p>
        </w:tc>
        <w:tc>
          <w:tcPr>
            <w:tcW w:type="dxa" w:w="16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ОАС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8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type="dxa" w:w="108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2731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Машинско учење</w:t>
            </w:r>
          </w:p>
        </w:tc>
        <w:tc>
          <w:tcPr>
            <w:tcW w:type="dxa" w:w="146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предавања</w:t>
            </w:r>
          </w:p>
        </w:tc>
        <w:tc>
          <w:tcPr>
            <w:tcW w:type="dxa" w:w="168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Општа физика, Теоријска и експериментална физика, Примењена физика</w:t>
            </w:r>
          </w:p>
        </w:tc>
        <w:tc>
          <w:tcPr>
            <w:tcW w:type="dxa" w:w="16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ОАС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8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</w:r>
          </w:p>
        </w:tc>
        <w:tc>
          <w:tcPr>
            <w:tcW w:type="dxa" w:w="108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2731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46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68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6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577"/>
            <w:gridSpan w:val="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>Репрезентативне референце (минимално 5 не више од 10)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-"/>
              </w:rPr>
              <w:t xml:space="preserve">S. Miladić, P. Stipšić, 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 xml:space="preserve">E. Dobardžić, 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-"/>
              </w:rPr>
              <w:t>M. Milivojević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, “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333333"/>
                <w:spacing w:val="0"/>
                <w:sz w:val="20"/>
                <w:szCs w:val="20"/>
                <w:u w:val="none"/>
                <w:em w:val="none"/>
              </w:rPr>
              <w:t>Electrical control of a spin qubit in InSb nanowire quantum dots: Strongly suppressed spin relaxation in high magnetic field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 xml:space="preserve">”, Phys. Rev. B 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-"/>
              </w:rPr>
              <w:t>101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 xml:space="preserve"> 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-"/>
              </w:rPr>
              <w:t xml:space="preserve">155307 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(20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-"/>
              </w:rPr>
              <w:t>20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Times-Roman" w:eastAsia="Times-Roman" w:hAnsi="Times New Roman"/>
                <w:sz w:val="20"/>
                <w:szCs w:val="20"/>
                <w:lang w:val="-"/>
              </w:rPr>
              <w:t xml:space="preserve">M.V. Milovanović, E. Dobardžić, Z. Papić, “Meron deconfinement in the quantum Hall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bilayer at intermediate distances”, </w:t>
            </w:r>
            <w:r>
              <w:rPr>
                <w:rFonts w:ascii="Times New Roman" w:cs="Times-Italic" w:eastAsia="Times-Italic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Phys. Rev.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B </w:t>
            </w:r>
            <w:r>
              <w:rPr>
                <w:rFonts w:ascii="Times New Roman" w:cs="Times-Bold" w:eastAsia="Times-Bold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92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>(2015) 195311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Times-Roman" w:eastAsia="Times-Roman" w:hAnsi="Times New Roman"/>
                <w:sz w:val="20"/>
                <w:szCs w:val="20"/>
                <w:lang w:val="-"/>
              </w:rPr>
              <w:t>E. Dobardžić, M. Dimitrijević, M.V. Milovanović, “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color w:val="333333"/>
                <w:spacing w:val="0"/>
                <w:sz w:val="20"/>
                <w:szCs w:val="20"/>
              </w:rPr>
              <w:t>Generalized Bloch theorem and topological characterization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”, </w:t>
            </w:r>
            <w:r>
              <w:rPr>
                <w:rFonts w:ascii="Times New Roman" w:cs="Times-Italic" w:eastAsia="Times-Italic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Phys. Rev.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B </w:t>
            </w:r>
            <w:r>
              <w:rPr>
                <w:rFonts w:ascii="Times New Roman" w:cs="Times-Bold" w:eastAsia="Times-Bold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91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>(2015) 125424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Times-Roman" w:eastAsia="Times-Roman" w:hAnsi="Times New Roman"/>
                <w:sz w:val="20"/>
                <w:szCs w:val="20"/>
                <w:lang w:val="-"/>
              </w:rPr>
              <w:t>E. Dobardžić, M.V. Milovanović, N. Regnault, “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color w:val="333333"/>
                <w:spacing w:val="0"/>
                <w:sz w:val="20"/>
                <w:szCs w:val="20"/>
                <w:lang w:val="-"/>
              </w:rPr>
              <w:t>Geometrical description of fractional Chern insulators based on static structure factor calculations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”, </w:t>
            </w:r>
            <w:r>
              <w:rPr>
                <w:rFonts w:ascii="Times New Roman" w:cs="Times-Italic" w:eastAsia="Times-Italic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Phys. Rev.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>B 88</w:t>
            </w:r>
            <w:r>
              <w:rPr>
                <w:rFonts w:ascii="Times New Roman" w:cs="Times-Bold" w:eastAsia="Times-Bold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 xml:space="preserve"> </w:t>
            </w:r>
            <w:r>
              <w:rPr>
                <w:rFonts w:ascii="Times New Roman" w:cs="Times-Roman" w:eastAsia="Times-Roman" w:hAnsi="Times New Roman"/>
                <w:b w:val="false"/>
                <w:bCs w:val="false"/>
                <w:i w:val="false"/>
                <w:iCs w:val="false"/>
                <w:sz w:val="20"/>
                <w:szCs w:val="20"/>
                <w:lang w:val="-"/>
              </w:rPr>
              <w:t>(2013) 115117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I. Milošević, N. Kepčija, E. Dobardžić, M. Mohr, J. Maultzsch, C. Thomsen, M. Damnjanović, "Symmetry based analysis of the Kohn anomaly and electron-phonon interaction in graphene and carbon nanotubes", Phys. Rev. B 80, 125305 (2009)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M. V. Milovanović, E. Dobardžić, and Z. Radović, "Meron ground states of quantum Hall droplets", Phys. Rev. B 80, 125305 (2009)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I. Milošević, B. Nikolić, E. Dobardžić, M. Damnjanović, I. Popov, and G. Seifert, "Electronic properties and optical spectra of MoS2 and WS2 nanotubes", Phys. Rev. B 76, 233414 (2007)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M. Mohr, J. Maultzsch, E. Dobardžić, S. Reich, I. Milošević, M. Damnjanović, A. Bosak, M. Krisch, and C. Thomsen, "Phonon dispersion of graphite by inelastic x-ray scattering", Phys. Rev. B 76, 035439 (2007)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E. Dobardžić, I. Milošević, B. Dakić, and M. Damnjanović, "Raman and infrared-active modes in MS2 nanotubes (M=Mo,W)", Phys. Rev. B 74, 0334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63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type="dxa" w:w="1518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M. Damnjanović, I. Milošević, E. Dobardžić, T. Vuković, and B. Nikolić, "Commensurate double-walled carbon nanotubes: Symmetry and phonons", Phys. Rev. B 69, 153401 (2004)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577"/>
            <w:gridSpan w:val="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b/>
                <w:sz w:val="20"/>
                <w:szCs w:val="20"/>
                <w:lang w:val="sr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4235"/>
            <w:gridSpan w:val="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Укупан број цитата</w:t>
            </w:r>
          </w:p>
        </w:tc>
        <w:tc>
          <w:tcPr>
            <w:tcW w:type="dxa" w:w="1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-"/>
              </w:rPr>
              <w:t>45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4235"/>
            <w:gridSpan w:val="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Укупан број радова са SCI (SSCI) листе</w:t>
            </w:r>
          </w:p>
        </w:tc>
        <w:tc>
          <w:tcPr>
            <w:tcW w:type="dxa" w:w="1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-"/>
              </w:rPr>
              <w:t>24</w:t>
            </w:r>
          </w:p>
        </w:tc>
      </w:tr>
      <w:tr>
        <w:trPr>
          <w:trHeight w:hRule="atLeast" w:val="278"/>
          <w:cantSplit w:val="false"/>
        </w:trPr>
        <w:tc>
          <w:tcPr>
            <w:tcW w:type="dxa" w:w="4235"/>
            <w:gridSpan w:val="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Тренутно учешће на пројектима</w:t>
            </w:r>
          </w:p>
        </w:tc>
        <w:tc>
          <w:tcPr>
            <w:tcW w:type="dxa" w:w="168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 xml:space="preserve">Домаћи </w:t>
            </w:r>
            <w:r>
              <w:rPr>
                <w:rFonts w:ascii="Times New Roman" w:hAnsi="Times New Roman"/>
                <w:sz w:val="20"/>
                <w:szCs w:val="20"/>
                <w:lang w:val="-"/>
              </w:rPr>
              <w:t>1</w:t>
            </w:r>
          </w:p>
        </w:tc>
        <w:tc>
          <w:tcPr>
            <w:tcW w:type="dxa" w:w="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 xml:space="preserve">Међународни </w:t>
            </w:r>
            <w:r>
              <w:rPr>
                <w:rFonts w:ascii="Times New Roman" w:hAnsi="Times New Roman"/>
                <w:sz w:val="20"/>
                <w:szCs w:val="20"/>
                <w:lang w:val="-"/>
              </w:rPr>
              <w:t>0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2269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 xml:space="preserve">Усавршавања </w:t>
            </w:r>
          </w:p>
        </w:tc>
        <w:tc>
          <w:tcPr>
            <w:tcW w:type="dxa" w:w="886"/>
            <w:gridSpan w:val="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 xml:space="preserve">2002 Технички Универзитет, Берлин, Немачка, 1 месец; 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2005 Технички Универзитет, Берлин, Немачка, 1/2 м</w:t>
            </w:r>
            <w:r>
              <w:rPr>
                <w:rFonts w:ascii="Times New Roman" w:cs="Arial" w:eastAsia="Arial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  <w:lang w:val="sr-RS"/>
              </w:rPr>
              <w:t>; 2007 Институт Јожеф Стефан, Љубљана, Словенија, 1 месец; 2008 ЕСПН, Париз, Француска, 1/2 месец; 2010 Технички Универзитет, Берлин, Немачка, 1 месец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577"/>
            <w:gridSpan w:val="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Други подаци које сматрате релевантним</w:t>
            </w:r>
          </w:p>
        </w:tc>
      </w:tr>
      <w:tr>
        <w:trPr>
          <w:trHeight w:hRule="atLeast" w:val="427"/>
          <w:cantSplit w:val="false"/>
        </w:trPr>
        <w:tc>
          <w:tcPr>
            <w:tcW w:type="dxa" w:w="1577"/>
            <w:gridSpan w:val="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567" w:val="left"/>
              </w:tabs>
              <w:spacing w:after="60" w:before="0"/>
            </w:pPr>
            <w:r>
              <w:rPr>
                <w:rFonts w:ascii="Times New Roman" w:hAnsi="Times New Roman"/>
                <w:sz w:val="20"/>
                <w:szCs w:val="20"/>
                <w:lang w:val="sr-R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 сме прећи једну А4 страну.</w:t>
            </w:r>
          </w:p>
        </w:tc>
      </w:tr>
    </w:tbl>
    <w:p>
      <w:pPr>
        <w:pStyle w:val="style0"/>
      </w:pPr>
      <w:r>
        <w:rPr/>
      </w:r>
    </w:p>
    <w:sectPr>
      <w:type w:val="nextPage"/>
      <w:pgSz w:h="15840" w:w="12240"/>
      <w:pgMar w:bottom="1440" w:footer="0" w:gutter="0" w:header="0" w:left="1440" w:right="1440" w:top="1440"/>
      <w:pgNumType w:fmt="decimal"/>
      <w:formProt w:val="false"/>
      <w:textDirection w:val="lrTb"/>
      <w:docGrid w:charSpace="-2049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tabs>
        <w:tab w:leader="none" w:pos="720" w:val="left"/>
      </w:tabs>
      <w:suppressAutoHyphens w:val="true"/>
      <w:spacing w:after="0" w:before="0" w:line="100" w:lineRule="atLeast"/>
    </w:pPr>
    <w:rPr>
      <w:rFonts w:ascii="Calibri" w:cs="Times New Roman" w:eastAsia="Calibri" w:hAnsi="Calibri"/>
      <w:color w:val="auto"/>
      <w:sz w:val="22"/>
      <w:szCs w:val="22"/>
      <w:lang w:bidi="ar-SA" w:eastAsia="en-US" w:val="sr-RS"/>
    </w:rPr>
  </w:style>
  <w:style w:styleId="style5" w:type="paragraph">
    <w:name w:val="Heading 5"/>
    <w:basedOn w:val="style16"/>
    <w:next w:val="style17"/>
    <w:pPr>
      <w:outlineLvl w:val="4"/>
    </w:pPr>
    <w:rPr>
      <w:rFonts w:ascii="Times New Roman" w:cs="Tahoma" w:eastAsia="Arial Unicode MS" w:hAnsi="Times New Roman"/>
      <w:b/>
      <w:bCs/>
      <w:sz w:val="20"/>
      <w:szCs w:val="20"/>
    </w:rPr>
  </w:style>
  <w:style w:styleId="style15" w:type="character">
    <w:name w:val="Default Paragraph Font"/>
    <w:next w:val="style15"/>
    <w:rPr/>
  </w:style>
  <w:style w:styleId="style16" w:type="paragraph">
    <w:name w:val="Heading"/>
    <w:basedOn w:val="style0"/>
    <w:next w:val="style17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17" w:type="paragraph">
    <w:name w:val="Text body"/>
    <w:basedOn w:val="style0"/>
    <w:next w:val="style17"/>
    <w:pPr>
      <w:spacing w:after="120" w:before="0"/>
    </w:pPr>
    <w:rPr/>
  </w:style>
  <w:style w:styleId="style18" w:type="paragraph">
    <w:name w:val="List"/>
    <w:basedOn w:val="style17"/>
    <w:next w:val="style18"/>
    <w:pPr/>
    <w:rPr>
      <w:rFonts w:cs="Mangal"/>
    </w:rPr>
  </w:style>
  <w:style w:styleId="style19" w:type="paragraph">
    <w:name w:val="Caption"/>
    <w:basedOn w:val="style0"/>
    <w:next w:val="style19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0" w:type="paragraph">
    <w:name w:val="Index"/>
    <w:basedOn w:val="style0"/>
    <w:next w:val="style20"/>
    <w:pPr>
      <w:suppressLineNumbers/>
    </w:pPr>
    <w:rPr>
      <w:rFonts w:cs="Mangal"/>
    </w:rPr>
  </w:style>
  <w:style w:styleId="style21" w:type="paragraph">
    <w:name w:val="Table Contents"/>
    <w:basedOn w:val="style0"/>
    <w:next w:val="style21"/>
    <w:pPr>
      <w:suppressLineNumbers/>
    </w:pPr>
    <w:rPr/>
  </w:style>
  <w:style w:styleId="style22" w:type="paragraph">
    <w:name w:val="Table Heading"/>
    <w:basedOn w:val="style21"/>
    <w:next w:val="style22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LibreOffice/3.4$Win32 LibreOffice_project/340m1$Build-302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2021-04-22T06:34:00.00Z</dcterms:created>
  <dc:creator>Windows User</dc:creator>
  <cp:lastModifiedBy>Windows User</cp:lastModifiedBy>
  <dcterms:modified xsi:type="dcterms:W3CDTF">2021-04-22T06:34:00.00Z</dcterms:modified>
  <cp:revision>2</cp:revision>
</cp:coreProperties>
</file>