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t>ВЕЋУ ЗА СТУДИЈЕ ПРИ УНИВЕРЗИТЕТУ</w:t>
      </w:r>
    </w:p>
    <w:p>
      <w:pPr>
        <w:pStyle w:val="Normal"/>
        <w:jc w:val="center"/>
        <w:rPr/>
      </w:pPr>
      <w:r>
        <w:rPr/>
      </w:r>
    </w:p>
    <w:p>
      <w:pPr>
        <w:pStyle w:val="Normal"/>
        <w:jc w:val="center"/>
        <w:rPr/>
      </w:pPr>
      <w:r>
        <w:rPr/>
        <w:t>УНИВЕРЗИТЕТА У БЕОГРАДУ</w:t>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t>ПРИЈАВА ТЕМЕ ЗА ИЗРАДУ МАСТЕР РАДА</w:t>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rPr/>
      </w:pPr>
      <w:r>
        <w:rPr/>
        <w:t>Обраћам се Већу за студије при Универзитету, Универзитета у Београду</w:t>
      </w:r>
      <w:r>
        <w:rPr>
          <w:lang w:val="sr-RS"/>
        </w:rPr>
        <w:t xml:space="preserve"> са молбом да ми се као студенту академских мастер студија студијског програма:</w:t>
      </w:r>
    </w:p>
    <w:p>
      <w:pPr>
        <w:pStyle w:val="Normal"/>
        <w:rPr>
          <w:lang w:val="sr-RS"/>
        </w:rPr>
      </w:pPr>
      <w:r>
        <w:rPr>
          <w:lang w:val="sr-RS"/>
        </w:rPr>
      </w:r>
    </w:p>
    <w:p>
      <w:pPr>
        <w:pStyle w:val="Normal"/>
        <w:jc w:val="center"/>
        <w:rPr>
          <w:b/>
          <w:bCs/>
          <w:lang w:val="sr-RS"/>
        </w:rPr>
      </w:pPr>
      <w:r>
        <w:rPr>
          <w:b/>
          <w:bCs/>
          <w:lang w:val="sr-RS"/>
        </w:rPr>
        <w:t>РЕЛИГИЈА У ДРУШТВУ, КУЛТУРИ И ЕВРОПСКИМ ИНТЕГРАЦИЈАМА</w:t>
      </w:r>
    </w:p>
    <w:p>
      <w:pPr>
        <w:pStyle w:val="Normal"/>
        <w:jc w:val="center"/>
        <w:rPr>
          <w:b/>
          <w:bCs/>
          <w:lang w:val="sr-RS"/>
        </w:rPr>
      </w:pPr>
      <w:r>
        <w:rPr>
          <w:b/>
          <w:bCs/>
          <w:lang w:val="sr-RS"/>
        </w:rPr>
      </w:r>
    </w:p>
    <w:p>
      <w:pPr>
        <w:pStyle w:val="Normal"/>
        <w:rPr>
          <w:lang w:val="sr-RS"/>
        </w:rPr>
      </w:pPr>
      <w:r>
        <w:rPr>
          <w:lang w:val="sr-RS"/>
        </w:rPr>
        <w:t>одобри израда мастер рада.</w:t>
      </w:r>
    </w:p>
    <w:p>
      <w:pPr>
        <w:pStyle w:val="Normal"/>
        <w:rPr>
          <w:lang w:val="sr-RS"/>
        </w:rPr>
      </w:pPr>
      <w:r>
        <w:rPr>
          <w:lang w:val="sr-RS"/>
        </w:rPr>
      </w:r>
    </w:p>
    <w:p>
      <w:pPr>
        <w:pStyle w:val="Normal"/>
        <w:rPr>
          <w:lang w:val="sr-RS"/>
        </w:rPr>
      </w:pPr>
      <w:r>
        <w:rPr>
          <w:lang w:val="sr-RS"/>
        </w:rPr>
      </w:r>
    </w:p>
    <w:p>
      <w:pPr>
        <w:pStyle w:val="Normal"/>
        <w:rPr>
          <w:lang w:val="sr-RS"/>
        </w:rPr>
      </w:pPr>
      <w:r>
        <w:rPr>
          <w:lang w:val="sr-RS"/>
        </w:rPr>
        <w:t>Наслов тезе:</w:t>
      </w:r>
    </w:p>
    <w:p>
      <w:pPr>
        <w:pStyle w:val="Normal"/>
        <w:rPr>
          <w:lang w:val="sr-RS"/>
        </w:rPr>
      </w:pPr>
      <w:r>
        <w:rPr>
          <w:lang w:val="sr-RS"/>
        </w:rPr>
      </w:r>
    </w:p>
    <w:p>
      <w:pPr>
        <w:pStyle w:val="Normal"/>
        <w:rPr>
          <w:lang w:val="sr-RS"/>
        </w:rPr>
      </w:pPr>
      <w:r>
        <w:rPr>
          <w:lang w:val="sr-RS"/>
        </w:rPr>
      </w:r>
    </w:p>
    <w:p>
      <w:pPr>
        <w:pStyle w:val="Normal"/>
        <w:rPr>
          <w:lang w:val="sr-RS"/>
        </w:rPr>
      </w:pPr>
      <w:r>
        <w:rPr>
          <w:lang w:val="sr-RS"/>
        </w:rPr>
      </w:r>
    </w:p>
    <w:p>
      <w:pPr>
        <w:pStyle w:val="Normal"/>
        <w:jc w:val="center"/>
        <w:rPr>
          <w:b/>
          <w:bCs/>
          <w:lang w:val="sr-RS"/>
        </w:rPr>
      </w:pPr>
      <w:r>
        <w:rPr>
          <w:b/>
          <w:bCs/>
          <w:lang w:val="sr-RS"/>
        </w:rPr>
        <w:t>ПРАВНИ ОКВИР ИЗВОЂЕЊА ВЕРСКЕ НАСТАВЕ У ДРЖАВНИМ ШКОЛАМА: УПОРЕДНОПРАВНА АНАЛИЗА</w:t>
      </w:r>
    </w:p>
    <w:p>
      <w:pPr>
        <w:pStyle w:val="Normal"/>
        <w:jc w:val="center"/>
        <w:rPr>
          <w:b/>
          <w:bCs/>
          <w:lang w:val="sr-RS"/>
        </w:rPr>
      </w:pPr>
      <w:r>
        <w:rPr>
          <w:b/>
          <w:bCs/>
          <w:lang w:val="sr-RS"/>
        </w:rPr>
      </w:r>
    </w:p>
    <w:p>
      <w:pPr>
        <w:pStyle w:val="Normal"/>
        <w:jc w:val="center"/>
        <w:rPr>
          <w:b/>
          <w:bCs/>
          <w:lang w:val="sr-RS"/>
        </w:rPr>
      </w:pPr>
      <w:r>
        <w:rPr>
          <w:b/>
          <w:bCs/>
          <w:lang w:val="sr-RS"/>
        </w:rPr>
      </w:r>
    </w:p>
    <w:p>
      <w:pPr>
        <w:pStyle w:val="Normal"/>
        <w:jc w:val="center"/>
        <w:rPr>
          <w:b/>
          <w:bCs/>
          <w:lang w:val="sr-RS"/>
        </w:rPr>
      </w:pPr>
      <w:r>
        <w:rPr>
          <w:b/>
          <w:bCs/>
          <w:lang w:val="sr-RS"/>
        </w:rPr>
      </w:r>
    </w:p>
    <w:p>
      <w:pPr>
        <w:pStyle w:val="Normal"/>
        <w:rPr>
          <w:b/>
          <w:bCs/>
          <w:lang w:val="sr-RS"/>
        </w:rPr>
      </w:pPr>
      <w:r>
        <w:rPr>
          <w:b/>
          <w:bCs/>
          <w:lang w:val="sr-RS"/>
        </w:rPr>
        <w:t>Научни циљ предложене тезе:</w:t>
      </w:r>
    </w:p>
    <w:p>
      <w:pPr>
        <w:pStyle w:val="Normal"/>
        <w:rPr>
          <w:lang w:val="sr-RS"/>
        </w:rPr>
      </w:pPr>
      <w:r>
        <w:rPr>
          <w:lang w:val="sr-RS"/>
        </w:rPr>
      </w:r>
    </w:p>
    <w:p>
      <w:pPr>
        <w:pStyle w:val="Normal"/>
        <w:rPr>
          <w:lang w:val="sr-RS"/>
        </w:rPr>
      </w:pPr>
      <w:r>
        <w:rPr>
          <w:lang w:val="sr-RS"/>
        </w:rPr>
      </w:r>
    </w:p>
    <w:p>
      <w:pPr>
        <w:pStyle w:val="Normal"/>
        <w:ind w:firstLine="720"/>
        <w:jc w:val="both"/>
        <w:rPr>
          <w:lang w:val="sr-RS"/>
        </w:rPr>
      </w:pPr>
      <w:r>
        <w:rPr>
          <w:lang w:val="sr-RS"/>
        </w:rPr>
        <w:t>Т</w:t>
      </w:r>
      <w:r>
        <w:rPr>
          <w:lang w:val="sr-RS"/>
        </w:rPr>
        <w:t xml:space="preserve">ема </w:t>
      </w:r>
      <w:r>
        <w:rPr>
          <w:lang w:val="sr-RS"/>
        </w:rPr>
        <w:t xml:space="preserve">овог рада </w:t>
      </w:r>
      <w:r>
        <w:rPr>
          <w:lang w:val="sr-RS"/>
        </w:rPr>
        <w:t xml:space="preserve">била је предмет бројних полемика и јавних расправа од новембра 2001. године, када је верска настава, после више од педесет година паузе, враћена у српски школски систем. Дискусије су укључивале и изношење правне аргументације у циљу провере оправданости и законитости правних аката који су омогућили повратак верске наставе у српске школе. </w:t>
      </w:r>
      <w:r>
        <w:rPr>
          <w:lang w:val="sr-RS"/>
        </w:rPr>
        <w:t>Научни ц</w:t>
      </w:r>
      <w:r>
        <w:rPr>
          <w:lang w:val="sr-RS"/>
        </w:rPr>
        <w:t>иљ ов</w:t>
      </w:r>
      <w:r>
        <w:rPr>
          <w:lang w:val="sr-RS"/>
        </w:rPr>
        <w:t>е тезе</w:t>
      </w:r>
      <w:r>
        <w:rPr>
          <w:lang w:val="sr-RS"/>
        </w:rPr>
        <w:t xml:space="preserve"> је да пружи преглед и евалуацију правних аргумената </w:t>
      </w:r>
      <w:r>
        <w:rPr>
          <w:i/>
          <w:iCs/>
          <w:lang w:val="sr-RS"/>
        </w:rPr>
        <w:t>pro et contra</w:t>
      </w:r>
      <w:r>
        <w:rPr>
          <w:lang w:val="sr-RS"/>
        </w:rPr>
        <w:t>, да омогући упоредноправни увид у решења која се примењују у другим правним системима и да допринесе бољем разумевању ове теме у домаћем научном дискурсу.</w:t>
      </w:r>
    </w:p>
    <w:p>
      <w:pPr>
        <w:pStyle w:val="Normal"/>
        <w:ind w:firstLine="720"/>
        <w:jc w:val="both"/>
        <w:rPr>
          <w:lang w:val="sr-RS"/>
        </w:rPr>
      </w:pPr>
      <w:r>
        <w:rPr>
          <w:lang w:val="sr-RS"/>
        </w:rPr>
      </w:r>
    </w:p>
    <w:p>
      <w:pPr>
        <w:pStyle w:val="Normal"/>
        <w:ind w:firstLine="720"/>
        <w:jc w:val="both"/>
        <w:rPr>
          <w:lang w:val="sr-RS"/>
        </w:rPr>
      </w:pPr>
      <w:r>
        <w:rPr>
          <w:lang w:val="sr-RS"/>
        </w:rPr>
      </w:r>
    </w:p>
    <w:p>
      <w:pPr>
        <w:pStyle w:val="Normal"/>
        <w:jc w:val="both"/>
        <w:rPr>
          <w:b/>
          <w:bCs/>
          <w:lang w:val="sr-RS"/>
        </w:rPr>
      </w:pPr>
      <w:r>
        <w:rPr>
          <w:b/>
          <w:bCs/>
          <w:lang w:val="sr-RS"/>
        </w:rPr>
        <w:t>Предмет рада:</w:t>
      </w:r>
    </w:p>
    <w:p>
      <w:pPr>
        <w:pStyle w:val="Normal"/>
        <w:jc w:val="both"/>
        <w:rPr>
          <w:lang w:val="sr-RS"/>
        </w:rPr>
      </w:pPr>
      <w:r>
        <w:rPr>
          <w:lang w:val="sr-RS"/>
        </w:rPr>
      </w:r>
    </w:p>
    <w:p>
      <w:pPr>
        <w:pStyle w:val="Normal"/>
        <w:jc w:val="both"/>
        <w:rPr>
          <w:lang w:val="sr-RS"/>
        </w:rPr>
      </w:pPr>
      <w:r>
        <w:rPr>
          <w:lang w:val="sr-RS"/>
        </w:rPr>
      </w:r>
    </w:p>
    <w:p>
      <w:pPr>
        <w:pStyle w:val="Normal"/>
        <w:ind w:firstLine="720"/>
        <w:jc w:val="both"/>
        <w:rPr>
          <w:lang w:val="sr-RS"/>
        </w:rPr>
      </w:pPr>
      <w:r>
        <w:rPr>
          <w:lang w:val="sr-RS"/>
        </w:rPr>
        <w:t>У овом раду ће се настојати да се афирмише позитиван став о уставности правне регулативе о верској настави на основу примера решења у упоредном европском праву. Анализираћемо унутрашњи и међународни правни оквир у који се смешта ова регулатива, и то у неколико кључних тачака:</w:t>
      </w:r>
    </w:p>
    <w:p>
      <w:pPr>
        <w:pStyle w:val="Normal"/>
        <w:jc w:val="both"/>
        <w:rPr>
          <w:lang w:val="sr-RS"/>
        </w:rPr>
      </w:pPr>
      <w:r>
        <w:rPr>
          <w:lang w:val="sr-RS"/>
        </w:rPr>
        <w:t>- принцип одвојености државе и цркве – да ли он подразумева апсолутну неутралност државе у односу на верске заједнице, или у пракси код овог типа односа државе и цркве ипак може постојати одређени вид кооперације и сарадње, конкретно у виду заједничког организовања верске наставе;</w:t>
      </w:r>
    </w:p>
    <w:p>
      <w:pPr>
        <w:pStyle w:val="Normal"/>
        <w:jc w:val="both"/>
        <w:rPr>
          <w:lang w:val="sr-RS"/>
        </w:rPr>
      </w:pPr>
      <w:r>
        <w:rPr>
          <w:lang w:val="sr-RS"/>
        </w:rPr>
        <w:t>- право на неизјашњавање о верском уверењу – да ли постојање алтернативног предмета за који ученици могу да оптирају гарантује остварење овог права;</w:t>
      </w:r>
    </w:p>
    <w:p>
      <w:pPr>
        <w:pStyle w:val="Normal"/>
        <w:jc w:val="both"/>
        <w:rPr>
          <w:lang w:val="sr-RS"/>
        </w:rPr>
      </w:pPr>
      <w:r>
        <w:rPr>
          <w:lang w:val="sr-RS"/>
        </w:rPr>
        <w:t>- забрана наметања верског учења – могу ли поменути алтернативни предмет и адекватна конфесионална верска настава за припаднике мањинских верских заједница бити прихватљиво решење;</w:t>
      </w:r>
    </w:p>
    <w:p>
      <w:pPr>
        <w:pStyle w:val="Normal"/>
        <w:jc w:val="both"/>
        <w:rPr>
          <w:lang w:val="sr-RS"/>
        </w:rPr>
      </w:pPr>
      <w:r>
        <w:rPr>
          <w:lang w:val="sr-RS"/>
        </w:rPr>
        <w:t>- право родитеља да образује дете у складу са својим религиозним и филозофским уверењима – да ли овај принцип може да се тумачи једино као „право родитеља да заштите децу од употребе образовних институција за идеолошку индоктринацију“, или верска настава у државним школама доприноси школовању деце управо у складу са овим правом родитеља;</w:t>
      </w:r>
    </w:p>
    <w:p>
      <w:pPr>
        <w:pStyle w:val="Normal"/>
        <w:jc w:val="both"/>
        <w:rPr>
          <w:lang w:val="sr-RS"/>
        </w:rPr>
      </w:pPr>
      <w:r>
        <w:rPr>
          <w:lang w:val="sr-RS"/>
        </w:rPr>
        <w:t>- право детета на слободу мишљења, савести и вероисповести – да ли верска настава представља препреку остварењу права детета да формира верска уверења супротна уверењима родитеља, или квалитетно верско образовање под контролом надлежних државних органа заправо штити децу од угрожавања њихових права од стране агресивних верских група.</w:t>
      </w:r>
    </w:p>
    <w:p>
      <w:pPr>
        <w:pStyle w:val="Normal"/>
        <w:jc w:val="both"/>
        <w:rPr>
          <w:lang w:val="sr-RS"/>
        </w:rPr>
      </w:pPr>
      <w:r>
        <w:rPr>
          <w:lang w:val="sr-RS"/>
        </w:rPr>
      </w:r>
    </w:p>
    <w:p>
      <w:pPr>
        <w:pStyle w:val="Normal"/>
        <w:jc w:val="both"/>
        <w:rPr>
          <w:lang w:val="sr-RS"/>
        </w:rPr>
      </w:pPr>
      <w:r>
        <w:rPr>
          <w:lang w:val="sr-RS"/>
        </w:rPr>
      </w:r>
    </w:p>
    <w:p>
      <w:pPr>
        <w:pStyle w:val="Normal"/>
        <w:jc w:val="both"/>
        <w:rPr>
          <w:b/>
          <w:bCs/>
          <w:lang w:val="sr-RS"/>
        </w:rPr>
      </w:pPr>
      <w:r>
        <w:rPr>
          <w:b/>
          <w:bCs/>
          <w:lang w:val="sr-RS"/>
        </w:rPr>
        <w:t>Методе рада:</w:t>
      </w:r>
    </w:p>
    <w:p>
      <w:pPr>
        <w:pStyle w:val="Normal"/>
        <w:jc w:val="both"/>
        <w:rPr>
          <w:lang w:val="sr-RS"/>
        </w:rPr>
      </w:pPr>
      <w:r>
        <w:rPr>
          <w:lang w:val="sr-RS"/>
        </w:rPr>
      </w:r>
    </w:p>
    <w:p>
      <w:pPr>
        <w:pStyle w:val="Normal"/>
        <w:jc w:val="both"/>
        <w:rPr>
          <w:lang w:val="sr-RS"/>
        </w:rPr>
      </w:pPr>
      <w:r>
        <w:rPr>
          <w:lang w:val="sr-RS"/>
        </w:rPr>
      </w:r>
    </w:p>
    <w:p>
      <w:pPr>
        <w:pStyle w:val="Normal"/>
        <w:ind w:firstLine="720"/>
        <w:jc w:val="both"/>
        <w:rPr>
          <w:lang w:val="sr-RS"/>
        </w:rPr>
      </w:pPr>
      <w:r>
        <w:rPr>
          <w:lang w:val="sr-RS"/>
        </w:rPr>
        <w:t>Методолошки оквир овог рада чинио би истраживачки поступак који подразумева прикупљање примарних и секундарних извора теоријског материјала, на првом месту домаће и стране литературе, као и интернет страница које могу да садрже информације релевантне за тему којом се бавимо; затим метод обраде података, дескриптивни метод, хипотетичко-дедуктивни метод, компаративни и аналитички метод, који ће нарочито доћи до изражаја при упоредноправној анализи законодавних решења европских земаља по питању статуса верске наставе у државном систему образовања. Читав процес биће заокружен синтезом закључака у циљу потврђивања или оповргавања кључне тезе рада: да ли је верској настави место у нашим државним школама, у светлу савременог међународног права.</w:t>
      </w:r>
    </w:p>
    <w:p>
      <w:pPr>
        <w:pStyle w:val="Normal"/>
        <w:ind w:firstLine="720"/>
        <w:jc w:val="both"/>
        <w:rPr>
          <w:lang w:val="sr-RS"/>
        </w:rPr>
      </w:pPr>
      <w:r>
        <w:rPr>
          <w:lang w:val="sr-RS"/>
        </w:rPr>
      </w:r>
    </w:p>
    <w:p>
      <w:pPr>
        <w:pStyle w:val="Normal"/>
        <w:ind w:firstLine="720"/>
        <w:jc w:val="both"/>
        <w:rPr>
          <w:lang w:val="sr-RS"/>
        </w:rPr>
      </w:pPr>
      <w:r>
        <w:rPr>
          <w:lang w:val="sr-RS"/>
        </w:rPr>
      </w:r>
    </w:p>
    <w:p>
      <w:pPr>
        <w:pStyle w:val="Normal"/>
        <w:jc w:val="both"/>
        <w:rPr>
          <w:b/>
          <w:bCs/>
          <w:lang w:val="sr-RS"/>
        </w:rPr>
      </w:pPr>
      <w:r>
        <w:rPr>
          <w:b/>
          <w:bCs/>
          <w:lang w:val="sr-RS"/>
        </w:rPr>
        <w:t>Структура рада (по поглављима):</w:t>
      </w:r>
    </w:p>
    <w:p>
      <w:pPr>
        <w:pStyle w:val="Normal"/>
        <w:jc w:val="both"/>
        <w:rPr>
          <w:lang w:val="sr-RS"/>
        </w:rPr>
      </w:pPr>
      <w:r>
        <w:rPr>
          <w:lang w:val="sr-RS"/>
        </w:rPr>
      </w:r>
    </w:p>
    <w:p>
      <w:pPr>
        <w:pStyle w:val="Normal"/>
        <w:jc w:val="both"/>
        <w:rPr>
          <w:lang w:val="sr-RS"/>
        </w:rPr>
      </w:pPr>
      <w:r>
        <w:rPr>
          <w:lang w:val="sr-RS"/>
        </w:rPr>
      </w:r>
    </w:p>
    <w:p>
      <w:pPr>
        <w:pStyle w:val="ListParagraph"/>
        <w:numPr>
          <w:ilvl w:val="0"/>
          <w:numId w:val="1"/>
        </w:numPr>
        <w:jc w:val="both"/>
        <w:rPr>
          <w:lang w:val="sr-RS"/>
        </w:rPr>
      </w:pPr>
      <w:r>
        <w:rPr>
          <w:lang w:val="sr-RS"/>
        </w:rPr>
        <w:t>Увод</w:t>
      </w:r>
    </w:p>
    <w:p>
      <w:pPr>
        <w:pStyle w:val="ListParagraph"/>
        <w:numPr>
          <w:ilvl w:val="0"/>
          <w:numId w:val="1"/>
        </w:numPr>
        <w:jc w:val="both"/>
        <w:rPr>
          <w:lang w:val="sr-RS"/>
        </w:rPr>
      </w:pPr>
      <w:r>
        <w:rPr>
          <w:lang w:val="sr-RS"/>
        </w:rPr>
        <w:t xml:space="preserve">Модели односа државе и цркве </w:t>
      </w:r>
    </w:p>
    <w:p>
      <w:pPr>
        <w:pStyle w:val="ListParagraph"/>
        <w:numPr>
          <w:ilvl w:val="1"/>
          <w:numId w:val="1"/>
        </w:numPr>
        <w:jc w:val="both"/>
        <w:rPr>
          <w:lang w:val="sr-RS"/>
        </w:rPr>
      </w:pPr>
      <w:r>
        <w:rPr>
          <w:lang w:val="sr-RS"/>
        </w:rPr>
        <w:t>Модели одвојености</w:t>
      </w:r>
    </w:p>
    <w:p>
      <w:pPr>
        <w:pStyle w:val="ListParagraph"/>
        <w:numPr>
          <w:ilvl w:val="1"/>
          <w:numId w:val="1"/>
        </w:numPr>
        <w:jc w:val="both"/>
        <w:rPr>
          <w:lang w:val="sr-RS"/>
        </w:rPr>
      </w:pPr>
      <w:r>
        <w:rPr>
          <w:lang w:val="sr-RS"/>
        </w:rPr>
        <w:t>Модели јединства</w:t>
      </w:r>
    </w:p>
    <w:p>
      <w:pPr>
        <w:pStyle w:val="ListParagraph"/>
        <w:numPr>
          <w:ilvl w:val="1"/>
          <w:numId w:val="1"/>
        </w:numPr>
        <w:jc w:val="both"/>
        <w:rPr>
          <w:lang w:val="sr-RS"/>
        </w:rPr>
      </w:pPr>
      <w:r>
        <w:rPr>
          <w:lang w:val="sr-RS"/>
        </w:rPr>
        <w:t xml:space="preserve">Одвојеност уз кооперацију </w:t>
      </w:r>
    </w:p>
    <w:p>
      <w:pPr>
        <w:pStyle w:val="ListParagraph"/>
        <w:numPr>
          <w:ilvl w:val="0"/>
          <w:numId w:val="1"/>
        </w:numPr>
        <w:jc w:val="both"/>
        <w:rPr>
          <w:lang w:val="sr-RS"/>
        </w:rPr>
      </w:pPr>
      <w:r>
        <w:rPr>
          <w:lang w:val="sr-RS"/>
        </w:rPr>
        <w:t>Уставноправни оквир</w:t>
      </w:r>
    </w:p>
    <w:p>
      <w:pPr>
        <w:pStyle w:val="ListParagraph"/>
        <w:numPr>
          <w:ilvl w:val="1"/>
          <w:numId w:val="1"/>
        </w:numPr>
        <w:jc w:val="both"/>
        <w:rPr>
          <w:lang w:val="sr-RS"/>
        </w:rPr>
      </w:pPr>
      <w:r>
        <w:rPr>
          <w:lang w:val="sr-RS"/>
        </w:rPr>
        <w:t>Уставноправни положај цркава и верских заједница</w:t>
      </w:r>
    </w:p>
    <w:p>
      <w:pPr>
        <w:pStyle w:val="ListParagraph"/>
        <w:numPr>
          <w:ilvl w:val="1"/>
          <w:numId w:val="1"/>
        </w:numPr>
        <w:jc w:val="both"/>
        <w:rPr>
          <w:lang w:val="sr-RS"/>
        </w:rPr>
      </w:pPr>
      <w:r>
        <w:rPr>
          <w:lang w:val="sr-RS"/>
        </w:rPr>
        <w:t>Световност државе</w:t>
      </w:r>
    </w:p>
    <w:p>
      <w:pPr>
        <w:pStyle w:val="ListParagraph"/>
        <w:numPr>
          <w:ilvl w:val="1"/>
          <w:numId w:val="1"/>
        </w:numPr>
        <w:jc w:val="both"/>
        <w:rPr>
          <w:lang w:val="sr-RS"/>
        </w:rPr>
      </w:pPr>
      <w:r>
        <w:rPr>
          <w:lang w:val="sr-RS"/>
        </w:rPr>
        <w:t xml:space="preserve">Заштита права на слободу савести и вероисповести </w:t>
      </w:r>
    </w:p>
    <w:p>
      <w:pPr>
        <w:pStyle w:val="ListParagraph"/>
        <w:numPr>
          <w:ilvl w:val="1"/>
          <w:numId w:val="1"/>
        </w:numPr>
        <w:jc w:val="both"/>
        <w:rPr>
          <w:lang w:val="sr-RS"/>
        </w:rPr>
      </w:pPr>
      <w:r>
        <w:rPr>
          <w:lang w:val="sr-RS"/>
        </w:rPr>
        <w:t xml:space="preserve">Устав, школство и верска настава </w:t>
      </w:r>
    </w:p>
    <w:p>
      <w:pPr>
        <w:pStyle w:val="ListParagraph"/>
        <w:numPr>
          <w:ilvl w:val="0"/>
          <w:numId w:val="1"/>
        </w:numPr>
        <w:jc w:val="both"/>
        <w:rPr>
          <w:lang w:val="sr-RS"/>
        </w:rPr>
      </w:pPr>
      <w:r>
        <w:rPr>
          <w:lang w:val="sr-RS"/>
        </w:rPr>
        <w:t>Законски оквир</w:t>
      </w:r>
    </w:p>
    <w:p>
      <w:pPr>
        <w:pStyle w:val="ListParagraph"/>
        <w:numPr>
          <w:ilvl w:val="1"/>
          <w:numId w:val="1"/>
        </w:numPr>
        <w:jc w:val="both"/>
        <w:rPr>
          <w:lang w:val="sr-RS"/>
        </w:rPr>
      </w:pPr>
      <w:r>
        <w:rPr>
          <w:lang w:val="sr-RS"/>
        </w:rPr>
        <w:t xml:space="preserve">Законско уређење верске наставе </w:t>
      </w:r>
    </w:p>
    <w:p>
      <w:pPr>
        <w:pStyle w:val="ListParagraph"/>
        <w:numPr>
          <w:ilvl w:val="1"/>
          <w:numId w:val="1"/>
        </w:numPr>
        <w:jc w:val="both"/>
        <w:rPr>
          <w:lang w:val="sr-RS"/>
        </w:rPr>
      </w:pPr>
      <w:r>
        <w:rPr>
          <w:lang w:val="sr-RS"/>
        </w:rPr>
        <w:t>Факултативност верске наставе</w:t>
      </w:r>
    </w:p>
    <w:p>
      <w:pPr>
        <w:pStyle w:val="ListParagraph"/>
        <w:numPr>
          <w:ilvl w:val="1"/>
          <w:numId w:val="1"/>
        </w:numPr>
        <w:jc w:val="both"/>
        <w:rPr>
          <w:lang w:val="sr-RS"/>
        </w:rPr>
      </w:pPr>
      <w:r>
        <w:rPr>
          <w:lang w:val="sr-RS"/>
        </w:rPr>
        <w:t>Алтернативни предмет</w:t>
      </w:r>
    </w:p>
    <w:p>
      <w:pPr>
        <w:pStyle w:val="ListParagraph"/>
        <w:numPr>
          <w:ilvl w:val="1"/>
          <w:numId w:val="1"/>
        </w:numPr>
        <w:jc w:val="both"/>
        <w:rPr>
          <w:lang w:val="sr-RS"/>
        </w:rPr>
      </w:pPr>
      <w:r>
        <w:rPr>
          <w:lang w:val="sr-RS"/>
        </w:rPr>
        <w:t>Комисија за верску наставу</w:t>
      </w:r>
    </w:p>
    <w:p>
      <w:pPr>
        <w:pStyle w:val="ListParagraph"/>
        <w:numPr>
          <w:ilvl w:val="1"/>
          <w:numId w:val="1"/>
        </w:numPr>
        <w:jc w:val="both"/>
        <w:rPr>
          <w:lang w:val="sr-RS"/>
        </w:rPr>
      </w:pPr>
      <w:r>
        <w:rPr>
          <w:lang w:val="sr-RS"/>
        </w:rPr>
        <w:t xml:space="preserve">Радноправни положај вероучитеља  </w:t>
      </w:r>
    </w:p>
    <w:p>
      <w:pPr>
        <w:pStyle w:val="ListParagraph"/>
        <w:numPr>
          <w:ilvl w:val="0"/>
          <w:numId w:val="1"/>
        </w:numPr>
        <w:jc w:val="both"/>
        <w:rPr>
          <w:lang w:val="sr-RS"/>
        </w:rPr>
      </w:pPr>
      <w:r>
        <w:rPr>
          <w:lang w:val="sr-RS"/>
        </w:rPr>
        <w:t>Закључак</w:t>
      </w:r>
    </w:p>
    <w:p>
      <w:pPr>
        <w:pStyle w:val="Normal"/>
        <w:jc w:val="both"/>
        <w:rPr>
          <w:lang w:val="sr-RS"/>
        </w:rPr>
      </w:pPr>
      <w:r>
        <w:rPr>
          <w:lang w:val="sr-RS"/>
        </w:rPr>
      </w:r>
    </w:p>
    <w:p>
      <w:pPr>
        <w:pStyle w:val="Normal"/>
        <w:jc w:val="both"/>
        <w:rPr/>
      </w:pPr>
      <w:r>
        <w:rPr/>
      </w:r>
    </w:p>
    <w:p>
      <w:pPr>
        <w:pStyle w:val="Normal"/>
        <w:jc w:val="both"/>
        <w:rPr>
          <w:b/>
          <w:bCs/>
          <w:lang w:val="sr-RS"/>
        </w:rPr>
      </w:pPr>
      <w:r>
        <w:rPr>
          <w:b/>
          <w:bCs/>
          <w:lang w:val="sr-RS"/>
        </w:rPr>
        <w:t>Литература:</w:t>
      </w:r>
    </w:p>
    <w:p>
      <w:pPr>
        <w:pStyle w:val="Normal"/>
        <w:jc w:val="both"/>
        <w:rPr>
          <w:lang w:val="sr-RS"/>
        </w:rPr>
      </w:pPr>
      <w:r>
        <w:rPr>
          <w:lang w:val="sr-RS"/>
        </w:rPr>
      </w:r>
    </w:p>
    <w:p>
      <w:pPr>
        <w:pStyle w:val="Normal"/>
        <w:jc w:val="both"/>
        <w:rPr>
          <w:lang w:val="sr-RS"/>
        </w:rPr>
      </w:pPr>
      <w:r>
        <w:rPr>
          <w:lang w:val="sr-RS"/>
        </w:rPr>
        <w:t>1. Aleksandar Prascevic, A., “The Process of Religious Education in Public</w:t>
      </w:r>
    </w:p>
    <w:p>
      <w:pPr>
        <w:pStyle w:val="Normal"/>
        <w:jc w:val="both"/>
        <w:rPr>
          <w:lang w:val="sr-RS"/>
        </w:rPr>
      </w:pPr>
      <w:r>
        <w:rPr>
          <w:lang w:val="sr-RS"/>
        </w:rPr>
        <w:t>Schools of Republic of Serbia 2001–2011”, http://www.pravoslavie.</w:t>
      </w:r>
    </w:p>
    <w:p>
      <w:pPr>
        <w:pStyle w:val="Normal"/>
        <w:jc w:val="both"/>
        <w:rPr/>
      </w:pPr>
      <w:r>
        <w:rPr>
          <w:lang w:val="sr-RS"/>
        </w:rPr>
        <w:t>ru/english/51724.htm.</w:t>
      </w:r>
    </w:p>
    <w:p>
      <w:pPr>
        <w:pStyle w:val="Normal"/>
        <w:jc w:val="both"/>
        <w:rPr/>
      </w:pPr>
      <w:r>
        <w:rPr/>
      </w:r>
    </w:p>
    <w:p>
      <w:pPr>
        <w:pStyle w:val="Normal"/>
        <w:jc w:val="both"/>
        <w:rPr>
          <w:lang w:val="sr-RS"/>
        </w:rPr>
      </w:pPr>
      <w:r>
        <w:rPr>
          <w:lang w:val="sr-RS"/>
        </w:rPr>
        <w:t>2. Aleksov, B., “Religious Education in Serbia”, Religion, State &amp; Society,</w:t>
      </w:r>
    </w:p>
    <w:p>
      <w:pPr>
        <w:pStyle w:val="Normal"/>
        <w:jc w:val="both"/>
        <w:rPr/>
      </w:pPr>
      <w:r>
        <w:rPr>
          <w:lang w:val="sr-RS"/>
        </w:rPr>
        <w:t>4/32, 2004.</w:t>
      </w:r>
    </w:p>
    <w:p>
      <w:pPr>
        <w:pStyle w:val="Normal"/>
        <w:jc w:val="both"/>
        <w:rPr/>
      </w:pPr>
      <w:r>
        <w:rPr/>
      </w:r>
    </w:p>
    <w:p>
      <w:pPr>
        <w:pStyle w:val="Normal"/>
        <w:jc w:val="both"/>
        <w:rPr>
          <w:lang w:val="sr-RS"/>
        </w:rPr>
      </w:pPr>
      <w:r>
        <w:rPr>
          <w:lang w:val="sr-RS"/>
        </w:rPr>
        <w:t>3. Arweck, E., Elenaor Nesbitt, E., “Young people’s identity formation in</w:t>
      </w:r>
    </w:p>
    <w:p>
      <w:pPr>
        <w:pStyle w:val="Normal"/>
        <w:jc w:val="both"/>
        <w:rPr>
          <w:lang w:val="sr-RS"/>
        </w:rPr>
      </w:pPr>
      <w:r>
        <w:rPr>
          <w:lang w:val="sr-RS"/>
        </w:rPr>
        <w:t>mixed-faith families: continuity or discontinuity of religious traditions?”,</w:t>
      </w:r>
    </w:p>
    <w:p>
      <w:pPr>
        <w:pStyle w:val="Normal"/>
        <w:jc w:val="both"/>
        <w:rPr/>
      </w:pPr>
      <w:r>
        <w:rPr>
          <w:lang w:val="sr-RS"/>
        </w:rPr>
        <w:t>Journal of Contemporary Religion, 25/2010.</w:t>
      </w:r>
    </w:p>
    <w:p>
      <w:pPr>
        <w:pStyle w:val="Normal"/>
        <w:jc w:val="both"/>
        <w:rPr/>
      </w:pPr>
      <w:r>
        <w:rPr/>
      </w:r>
    </w:p>
    <w:p>
      <w:pPr>
        <w:pStyle w:val="Normal"/>
        <w:jc w:val="both"/>
        <w:rPr>
          <w:lang w:val="sr-RS"/>
        </w:rPr>
      </w:pPr>
      <w:r>
        <w:rPr>
          <w:lang w:val="sr-RS"/>
        </w:rPr>
        <w:t>4. Avramovic, S., “Church and State in Serbia”, in: Law and Religion in</w:t>
      </w:r>
    </w:p>
    <w:p>
      <w:pPr>
        <w:pStyle w:val="Normal"/>
        <w:jc w:val="both"/>
        <w:rPr>
          <w:lang w:val="sr-RS"/>
        </w:rPr>
      </w:pPr>
      <w:r>
        <w:rPr>
          <w:lang w:val="sr-RS"/>
        </w:rPr>
        <w:t>Post-Communist Europe (eds. Silvio Ferrari, W. Cole Durham),</w:t>
      </w:r>
    </w:p>
    <w:p>
      <w:pPr>
        <w:pStyle w:val="Normal"/>
        <w:jc w:val="both"/>
        <w:rPr/>
      </w:pPr>
      <w:r>
        <w:rPr>
          <w:lang w:val="sr-RS"/>
        </w:rPr>
        <w:t>Leuven-Paris-Dudley, MA 2003.</w:t>
      </w:r>
    </w:p>
    <w:p>
      <w:pPr>
        <w:pStyle w:val="Normal"/>
        <w:jc w:val="both"/>
        <w:rPr/>
      </w:pPr>
      <w:r>
        <w:rPr/>
      </w:r>
    </w:p>
    <w:p>
      <w:pPr>
        <w:pStyle w:val="Normal"/>
        <w:jc w:val="both"/>
        <w:rPr>
          <w:lang w:val="sr-RS"/>
        </w:rPr>
      </w:pPr>
      <w:r>
        <w:rPr>
          <w:lang w:val="sr-RS"/>
        </w:rPr>
        <w:t>5. Avramovic, S., “Pravo na versku nastavu u našem i uporednom pravu”,</w:t>
      </w:r>
    </w:p>
    <w:p>
      <w:pPr>
        <w:pStyle w:val="Normal"/>
        <w:jc w:val="both"/>
        <w:rPr>
          <w:lang w:val="sr-RS"/>
        </w:rPr>
      </w:pPr>
      <w:r>
        <w:rPr>
          <w:lang w:val="sr-RS"/>
        </w:rPr>
        <w:t>Anali Pravnog fakulteta u Beogadu (“Right to religious instruction</w:t>
      </w:r>
    </w:p>
    <w:p>
      <w:pPr>
        <w:pStyle w:val="Normal"/>
        <w:jc w:val="both"/>
        <w:rPr>
          <w:lang w:val="sr-RS"/>
        </w:rPr>
      </w:pPr>
      <w:r>
        <w:rPr>
          <w:lang w:val="sr-RS"/>
        </w:rPr>
        <w:t>in our and comparative law”, Annals of the Faculty of Law in Belgrade),</w:t>
      </w:r>
    </w:p>
    <w:p>
      <w:pPr>
        <w:pStyle w:val="Normal"/>
        <w:jc w:val="both"/>
        <w:rPr/>
      </w:pPr>
      <w:r>
        <w:rPr>
          <w:lang w:val="sr-RS"/>
        </w:rPr>
        <w:t>1/2005.</w:t>
      </w:r>
    </w:p>
    <w:p>
      <w:pPr>
        <w:pStyle w:val="Normal"/>
        <w:jc w:val="both"/>
        <w:rPr/>
      </w:pPr>
      <w:r>
        <w:rPr/>
      </w:r>
    </w:p>
    <w:p>
      <w:pPr>
        <w:pStyle w:val="Normal"/>
        <w:jc w:val="both"/>
        <w:rPr>
          <w:lang w:val="sr-RS"/>
        </w:rPr>
      </w:pPr>
      <w:r>
        <w:rPr>
          <w:lang w:val="sr-RS"/>
        </w:rPr>
        <w:t>6. Avramovic, S., “Right to Religious Instruction in Public Schools”, Annals</w:t>
      </w:r>
    </w:p>
    <w:p>
      <w:pPr>
        <w:pStyle w:val="Normal"/>
        <w:jc w:val="both"/>
        <w:rPr/>
      </w:pPr>
      <w:r>
        <w:rPr>
          <w:lang w:val="sr-RS"/>
        </w:rPr>
        <w:t>of the Faculty of Law in Belgrade 3/2006.</w:t>
      </w:r>
    </w:p>
    <w:p>
      <w:pPr>
        <w:pStyle w:val="Normal"/>
        <w:jc w:val="both"/>
        <w:rPr/>
      </w:pPr>
      <w:r>
        <w:rPr/>
      </w:r>
    </w:p>
    <w:p>
      <w:pPr>
        <w:pStyle w:val="Normal"/>
        <w:jc w:val="both"/>
        <w:rPr>
          <w:lang w:val="sr-RS"/>
        </w:rPr>
      </w:pPr>
      <w:r>
        <w:rPr>
          <w:lang w:val="sr-RS"/>
        </w:rPr>
        <w:t>7. Avramovic, S., “Serbia”, in: Religion and the Secular State: National Reports</w:t>
      </w:r>
    </w:p>
    <w:p>
      <w:pPr>
        <w:pStyle w:val="Normal"/>
        <w:jc w:val="both"/>
        <w:rPr>
          <w:lang w:val="sr-RS"/>
        </w:rPr>
      </w:pPr>
      <w:r>
        <w:rPr>
          <w:lang w:val="sr-RS"/>
        </w:rPr>
        <w:t>(eds. W. C. Durham, J. Martinez-Torron), Madrid 2015.</w:t>
      </w:r>
    </w:p>
    <w:p>
      <w:pPr>
        <w:pStyle w:val="Normal"/>
        <w:jc w:val="both"/>
        <w:rPr>
          <w:lang w:val="sr-RS"/>
        </w:rPr>
      </w:pPr>
      <w:r>
        <w:rPr>
          <w:lang w:val="sr-RS"/>
        </w:rPr>
      </w:r>
    </w:p>
    <w:p>
      <w:pPr>
        <w:pStyle w:val="Normal"/>
        <w:jc w:val="both"/>
        <w:rPr>
          <w:lang w:val="sr-RS"/>
        </w:rPr>
      </w:pPr>
      <w:r>
        <w:rPr>
          <w:lang w:val="sr-RS"/>
        </w:rPr>
        <w:t>8. Avramovic, S. ,,Verska sloboda i njena zloupotreba -- istorijski i aktuelni pravni aspekti‘‘, Anali PFB 1998/4-6</w:t>
      </w:r>
    </w:p>
    <w:p>
      <w:pPr>
        <w:pStyle w:val="Normal"/>
        <w:jc w:val="both"/>
        <w:rPr/>
      </w:pPr>
      <w:r>
        <w:rPr/>
      </w:r>
    </w:p>
    <w:p>
      <w:pPr>
        <w:pStyle w:val="Normal"/>
        <w:jc w:val="both"/>
        <w:rPr>
          <w:lang w:val="sr-RS"/>
        </w:rPr>
      </w:pPr>
      <w:r>
        <w:rPr>
          <w:lang w:val="sr-RS"/>
        </w:rPr>
        <w:t>9. Avramovic, S., “Ustavnost verske nastave u državnim školama – res iudicata”,</w:t>
      </w:r>
    </w:p>
    <w:p>
      <w:pPr>
        <w:pStyle w:val="Normal"/>
        <w:jc w:val="both"/>
        <w:rPr/>
      </w:pPr>
      <w:r>
        <w:rPr>
          <w:lang w:val="sr-RS"/>
        </w:rPr>
        <w:t>Anali Pravnog fakulteta u Beogradu, 2/2006.</w:t>
      </w:r>
    </w:p>
    <w:p>
      <w:pPr>
        <w:pStyle w:val="Normal"/>
        <w:jc w:val="both"/>
        <w:rPr/>
      </w:pPr>
      <w:r>
        <w:rPr/>
      </w:r>
    </w:p>
    <w:p>
      <w:pPr>
        <w:pStyle w:val="Normal"/>
        <w:jc w:val="both"/>
        <w:rPr>
          <w:lang w:val="sr-RS"/>
        </w:rPr>
      </w:pPr>
      <w:r>
        <w:rPr>
          <w:lang w:val="sr-RS"/>
        </w:rPr>
        <w:t>10. Blagojevic, M., “Aktuelna religioznost gradjana Srbije” (Actual Religiosity</w:t>
      </w:r>
    </w:p>
    <w:p>
      <w:pPr>
        <w:pStyle w:val="Normal"/>
        <w:jc w:val="both"/>
        <w:rPr>
          <w:lang w:val="sr-RS"/>
        </w:rPr>
      </w:pPr>
      <w:r>
        <w:rPr>
          <w:lang w:val="sr-RS"/>
        </w:rPr>
        <w:t>of the Serbian Citizens”), in: Religioznost u Srbiji 2010 (Religiosity</w:t>
      </w:r>
    </w:p>
    <w:p>
      <w:pPr>
        <w:pStyle w:val="Normal"/>
        <w:jc w:val="both"/>
        <w:rPr>
          <w:lang w:val="sr-RS"/>
        </w:rPr>
      </w:pPr>
      <w:r>
        <w:rPr>
          <w:lang w:val="sr-RS"/>
        </w:rPr>
        <w:t>in Serbia in 2010), (ed. Andrijana Mladenovic), Belgrade</w:t>
      </w:r>
    </w:p>
    <w:p>
      <w:pPr>
        <w:pStyle w:val="Normal"/>
        <w:jc w:val="both"/>
        <w:rPr>
          <w:lang w:val="sr-RS"/>
        </w:rPr>
      </w:pPr>
      <w:r>
        <w:rPr>
          <w:lang w:val="sr-RS"/>
        </w:rPr>
        <w:t>2010.</w:t>
      </w:r>
    </w:p>
    <w:p>
      <w:pPr>
        <w:pStyle w:val="Normal"/>
        <w:jc w:val="both"/>
        <w:rPr>
          <w:lang w:val="sr-RS"/>
        </w:rPr>
      </w:pPr>
      <w:r>
        <w:rPr>
          <w:lang w:val="sr-RS"/>
        </w:rPr>
      </w:r>
    </w:p>
    <w:p>
      <w:pPr>
        <w:pStyle w:val="Normal"/>
        <w:jc w:val="both"/>
        <w:rPr>
          <w:lang w:val="sr-RS"/>
        </w:rPr>
      </w:pPr>
      <w:r>
        <w:rPr>
          <w:lang w:val="sr-RS"/>
        </w:rPr>
        <w:t>11. Coleman, S., Collins, P., Religion, Identity, and Change: Perspectives on</w:t>
      </w:r>
    </w:p>
    <w:p>
      <w:pPr>
        <w:pStyle w:val="Normal"/>
        <w:jc w:val="both"/>
        <w:rPr>
          <w:lang w:val="sr-RS"/>
        </w:rPr>
      </w:pPr>
      <w:r>
        <w:rPr>
          <w:lang w:val="sr-RS"/>
        </w:rPr>
        <w:t>Global Transformations (eds. Simon Coleman, Peter Collins) Aldershot</w:t>
      </w:r>
    </w:p>
    <w:p>
      <w:pPr>
        <w:pStyle w:val="Normal"/>
        <w:jc w:val="both"/>
        <w:rPr>
          <w:lang w:val="sr-RS"/>
        </w:rPr>
      </w:pPr>
      <w:r>
        <w:rPr>
          <w:lang w:val="sr-RS"/>
        </w:rPr>
        <w:t>2004.</w:t>
      </w:r>
    </w:p>
    <w:p>
      <w:pPr>
        <w:pStyle w:val="Normal"/>
        <w:jc w:val="both"/>
        <w:rPr>
          <w:lang w:val="sr-RS"/>
        </w:rPr>
      </w:pPr>
      <w:r>
        <w:rPr>
          <w:lang w:val="sr-RS"/>
        </w:rPr>
      </w:r>
    </w:p>
    <w:p>
      <w:pPr>
        <w:pStyle w:val="Normal"/>
        <w:jc w:val="both"/>
        <w:rPr>
          <w:lang w:val="sr-RS"/>
        </w:rPr>
      </w:pPr>
      <w:r>
        <w:rPr>
          <w:lang w:val="sr-RS"/>
        </w:rPr>
        <w:t>12. Draskic, M., “Pravo deteta na slobodu veroispovesti u skoli”, Anali Pravnog</w:t>
      </w:r>
    </w:p>
    <w:p>
      <w:pPr>
        <w:pStyle w:val="Normal"/>
        <w:jc w:val="both"/>
        <w:rPr>
          <w:lang w:val="sr-RS"/>
        </w:rPr>
      </w:pPr>
      <w:r>
        <w:rPr>
          <w:lang w:val="sr-RS"/>
        </w:rPr>
        <w:t>fakulteta u Beogradu (“Right of children to religious freedom</w:t>
      </w:r>
    </w:p>
    <w:p>
      <w:pPr>
        <w:pStyle w:val="Normal"/>
        <w:jc w:val="both"/>
        <w:rPr>
          <w:lang w:val="sr-RS"/>
        </w:rPr>
      </w:pPr>
      <w:r>
        <w:rPr>
          <w:lang w:val="sr-RS"/>
        </w:rPr>
        <w:t>in schools”, Annals of the Faculty of Law in Belgrade), 1–4/2001.</w:t>
      </w:r>
    </w:p>
    <w:p>
      <w:pPr>
        <w:pStyle w:val="Normal"/>
        <w:jc w:val="both"/>
        <w:rPr>
          <w:lang w:val="sr-RS"/>
        </w:rPr>
      </w:pPr>
      <w:r>
        <w:rPr>
          <w:lang w:val="sr-RS"/>
        </w:rPr>
      </w:r>
    </w:p>
    <w:p>
      <w:pPr>
        <w:pStyle w:val="Normal"/>
        <w:jc w:val="both"/>
        <w:rPr>
          <w:lang w:val="sr-RS"/>
        </w:rPr>
      </w:pPr>
      <w:r>
        <w:rPr>
          <w:lang w:val="sr-RS"/>
        </w:rPr>
        <w:t>13. Draskic, M., “O veronauci u državnim školama, drugi put”, Anali Pravnog</w:t>
      </w:r>
    </w:p>
    <w:p>
      <w:pPr>
        <w:pStyle w:val="Normal"/>
        <w:jc w:val="both"/>
        <w:rPr>
          <w:lang w:val="sr-RS"/>
        </w:rPr>
      </w:pPr>
      <w:r>
        <w:rPr>
          <w:lang w:val="sr-RS"/>
        </w:rPr>
        <w:t>Fakulteta u Beogradu (“On religious instruction in public</w:t>
      </w:r>
    </w:p>
    <w:p>
      <w:pPr>
        <w:pStyle w:val="Normal"/>
        <w:jc w:val="both"/>
        <w:rPr>
          <w:lang w:val="sr-RS"/>
        </w:rPr>
      </w:pPr>
      <w:r>
        <w:rPr>
          <w:lang w:val="sr-RS"/>
        </w:rPr>
        <w:t>schools, the second time”, Annals of the Faculty of Law in Belgrade),</w:t>
      </w:r>
    </w:p>
    <w:p>
      <w:pPr>
        <w:pStyle w:val="Normal"/>
        <w:jc w:val="both"/>
        <w:rPr/>
      </w:pPr>
      <w:r>
        <w:rPr>
          <w:lang w:val="sr-RS"/>
        </w:rPr>
        <w:t>1/2006.</w:t>
      </w:r>
    </w:p>
    <w:p>
      <w:pPr>
        <w:pStyle w:val="Normal"/>
        <w:jc w:val="both"/>
        <w:rPr/>
      </w:pPr>
      <w:r>
        <w:rPr/>
      </w:r>
    </w:p>
    <w:p>
      <w:pPr>
        <w:pStyle w:val="Normal"/>
        <w:jc w:val="both"/>
        <w:rPr>
          <w:lang w:val="sr-RS"/>
        </w:rPr>
      </w:pPr>
      <w:r>
        <w:rPr>
          <w:lang w:val="sr-RS"/>
        </w:rPr>
        <w:t>14. G. Robbers, State and Church in the European Union, Baden-</w:t>
      </w:r>
    </w:p>
    <w:p>
      <w:pPr>
        <w:pStyle w:val="Normal"/>
        <w:jc w:val="both"/>
        <w:rPr>
          <w:lang w:val="sr-RS"/>
        </w:rPr>
      </w:pPr>
      <w:r>
        <w:rPr>
          <w:lang w:val="sr-RS"/>
        </w:rPr>
        <w:t>Baden 1996.</w:t>
      </w:r>
    </w:p>
    <w:p>
      <w:pPr>
        <w:pStyle w:val="Normal"/>
        <w:jc w:val="both"/>
        <w:rPr>
          <w:lang w:val="sr-RS"/>
        </w:rPr>
      </w:pPr>
      <w:r>
        <w:rPr>
          <w:lang w:val="sr-RS"/>
        </w:rPr>
      </w:r>
    </w:p>
    <w:p>
      <w:pPr>
        <w:pStyle w:val="Normal"/>
        <w:jc w:val="both"/>
        <w:rPr>
          <w:lang w:val="sr-RS"/>
        </w:rPr>
      </w:pPr>
      <w:r>
        <w:rPr>
          <w:lang w:val="sr-RS"/>
        </w:rPr>
        <w:t>15. G. Haarscher, ,,Freedom of Religion in Context‘‘, Brigham Young University Law</w:t>
      </w:r>
    </w:p>
    <w:p>
      <w:pPr>
        <w:pStyle w:val="Normal"/>
        <w:jc w:val="both"/>
        <w:rPr>
          <w:lang w:val="sr-RS"/>
        </w:rPr>
      </w:pPr>
      <w:r>
        <w:rPr>
          <w:lang w:val="sr-RS"/>
        </w:rPr>
        <w:t>Review, 2/2000.</w:t>
      </w:r>
    </w:p>
    <w:p>
      <w:pPr>
        <w:pStyle w:val="Normal"/>
        <w:jc w:val="both"/>
        <w:rPr>
          <w:lang w:val="sr-RS"/>
        </w:rPr>
      </w:pPr>
      <w:r>
        <w:rPr>
          <w:lang w:val="sr-RS"/>
        </w:rPr>
      </w:r>
    </w:p>
    <w:p>
      <w:pPr>
        <w:pStyle w:val="Normal"/>
        <w:jc w:val="both"/>
        <w:rPr>
          <w:lang w:val="sr-RS"/>
        </w:rPr>
      </w:pPr>
      <w:r>
        <w:rPr>
          <w:lang w:val="sr-RS"/>
        </w:rPr>
        <w:t>16. S. Ferrari, ,,The Pattern of Church and State Relations in Western Europe‘‘, Fides et</w:t>
      </w:r>
    </w:p>
    <w:p>
      <w:pPr>
        <w:pStyle w:val="Normal"/>
        <w:jc w:val="both"/>
        <w:rPr>
          <w:lang w:val="sr-RS"/>
        </w:rPr>
      </w:pPr>
      <w:r>
        <w:rPr>
          <w:lang w:val="sr-RS"/>
        </w:rPr>
        <w:t>Libertas, The Journal of the International Religious Liberty Association, Silver Spring, Maryland</w:t>
      </w:r>
    </w:p>
    <w:p>
      <w:pPr>
        <w:pStyle w:val="Normal"/>
        <w:jc w:val="both"/>
        <w:rPr>
          <w:lang w:val="sr-RS"/>
        </w:rPr>
      </w:pPr>
      <w:r>
        <w:rPr>
          <w:lang w:val="sr-RS"/>
        </w:rPr>
        <w:t>2001.</w:t>
      </w:r>
    </w:p>
    <w:p>
      <w:pPr>
        <w:pStyle w:val="Normal"/>
        <w:jc w:val="both"/>
        <w:rPr>
          <w:lang w:val="sr-RS"/>
        </w:rPr>
      </w:pPr>
      <w:r>
        <w:rPr>
          <w:lang w:val="sr-RS"/>
        </w:rPr>
      </w:r>
    </w:p>
    <w:p>
      <w:pPr>
        <w:pStyle w:val="Normal"/>
        <w:jc w:val="both"/>
        <w:rPr>
          <w:lang w:val="sr-RS"/>
        </w:rPr>
      </w:pPr>
      <w:r>
        <w:rPr>
          <w:lang w:val="sr-RS"/>
        </w:rPr>
        <w:t>17. A. Frhr. v. Campenhausen, Der heutige Verfassungsstaat und die Religion, Handbuch</w:t>
      </w:r>
    </w:p>
    <w:p>
      <w:pPr>
        <w:pStyle w:val="Normal"/>
        <w:jc w:val="both"/>
        <w:rPr>
          <w:lang w:val="sr-RS"/>
        </w:rPr>
      </w:pPr>
      <w:r>
        <w:rPr>
          <w:lang w:val="sr-RS"/>
        </w:rPr>
        <w:t>des Staatskirchenrechts der Bundesrepublik Deutchland, I, Berlin 1994.</w:t>
      </w:r>
    </w:p>
    <w:p>
      <w:pPr>
        <w:pStyle w:val="Normal"/>
        <w:jc w:val="both"/>
        <w:rPr>
          <w:lang w:val="sr-RS"/>
        </w:rPr>
      </w:pPr>
      <w:r>
        <w:rPr>
          <w:lang w:val="sr-RS"/>
        </w:rPr>
      </w:r>
    </w:p>
    <w:p>
      <w:pPr>
        <w:pStyle w:val="Normal"/>
        <w:jc w:val="both"/>
        <w:rPr>
          <w:lang w:val="sr-RS"/>
        </w:rPr>
      </w:pPr>
      <w:r>
        <w:rPr>
          <w:lang w:val="sr-RS"/>
        </w:rPr>
        <w:t>18. Kymlicka, W., Multicultural Citizenship: A Liberal Theory of Minority Rights (Oxford</w:t>
      </w:r>
    </w:p>
    <w:p>
      <w:pPr>
        <w:pStyle w:val="Normal"/>
        <w:jc w:val="both"/>
        <w:rPr>
          <w:lang w:val="sr-RS"/>
        </w:rPr>
      </w:pPr>
      <w:r>
        <w:rPr>
          <w:lang w:val="sr-RS"/>
        </w:rPr>
        <w:t>Political Theory), Oxford 1996.</w:t>
      </w:r>
    </w:p>
    <w:p>
      <w:pPr>
        <w:pStyle w:val="Normal"/>
        <w:jc w:val="both"/>
        <w:rPr>
          <w:lang w:val="sr-RS"/>
        </w:rPr>
      </w:pPr>
      <w:r>
        <w:rPr>
          <w:lang w:val="sr-RS"/>
        </w:rPr>
      </w:r>
    </w:p>
    <w:p>
      <w:pPr>
        <w:pStyle w:val="Normal"/>
        <w:jc w:val="both"/>
        <w:rPr>
          <w:lang w:val="sr-RS"/>
        </w:rPr>
      </w:pPr>
      <w:r>
        <w:rPr>
          <w:lang w:val="sr-RS"/>
        </w:rPr>
        <w:t>19. G. Robbers, ,,Religious Minorities in Germany‘‘ u The Legal Status of Religious</w:t>
      </w:r>
    </w:p>
    <w:p>
      <w:pPr>
        <w:pStyle w:val="Normal"/>
        <w:jc w:val="both"/>
        <w:rPr>
          <w:lang w:val="sr-RS"/>
        </w:rPr>
      </w:pPr>
      <w:r>
        <w:rPr>
          <w:lang w:val="sr-RS"/>
        </w:rPr>
        <w:t>Minorities in the Countries of the European Union, Milano 1994.</w:t>
      </w:r>
    </w:p>
    <w:p>
      <w:pPr>
        <w:pStyle w:val="Normal"/>
        <w:jc w:val="both"/>
        <w:rPr>
          <w:lang w:val="sr-RS"/>
        </w:rPr>
      </w:pPr>
      <w:r>
        <w:rPr>
          <w:lang w:val="sr-RS"/>
        </w:rPr>
      </w:r>
    </w:p>
    <w:p>
      <w:pPr>
        <w:pStyle w:val="Normal"/>
        <w:jc w:val="both"/>
        <w:rPr>
          <w:lang w:val="sr-RS"/>
        </w:rPr>
      </w:pPr>
      <w:r>
        <w:rPr>
          <w:lang w:val="sr-RS"/>
        </w:rPr>
        <w:t>20. G. Robbers, ,,Religious Freedom in Germany‘‘, Brigham</w:t>
      </w:r>
    </w:p>
    <w:p>
      <w:pPr>
        <w:pStyle w:val="Normal"/>
        <w:jc w:val="both"/>
        <w:rPr>
          <w:lang w:val="sr-RS"/>
        </w:rPr>
      </w:pPr>
      <w:r>
        <w:rPr>
          <w:lang w:val="sr-RS"/>
        </w:rPr>
        <w:t>Young University Law Review 2/2001.</w:t>
      </w:r>
    </w:p>
    <w:p>
      <w:pPr>
        <w:pStyle w:val="Normal"/>
        <w:jc w:val="both"/>
        <w:rPr>
          <w:lang w:val="sr-RS"/>
        </w:rPr>
      </w:pPr>
      <w:r>
        <w:rPr>
          <w:lang w:val="sr-RS"/>
        </w:rPr>
      </w:r>
    </w:p>
    <w:p>
      <w:pPr>
        <w:pStyle w:val="Normal"/>
        <w:jc w:val="both"/>
        <w:rPr>
          <w:lang w:val="sr-RS"/>
        </w:rPr>
      </w:pPr>
      <w:r>
        <w:rPr>
          <w:lang w:val="sr-RS"/>
        </w:rPr>
        <w:t>21. M. Heckel, Die religioinsrechtliche Parität, Handbuch des Staatskirchenrechts der</w:t>
      </w:r>
    </w:p>
    <w:p>
      <w:pPr>
        <w:pStyle w:val="Normal"/>
        <w:jc w:val="both"/>
        <w:rPr>
          <w:lang w:val="sr-RS"/>
        </w:rPr>
      </w:pPr>
      <w:r>
        <w:rPr>
          <w:lang w:val="sr-RS"/>
        </w:rPr>
        <w:t>Bundesrepublik Deutchland, I, Berlin 1994, 589--622; isti, Das Gleichbehanlungsgebot im</w:t>
      </w:r>
    </w:p>
    <w:p>
      <w:pPr>
        <w:pStyle w:val="Normal"/>
        <w:jc w:val="both"/>
        <w:rPr>
          <w:lang w:val="sr-RS"/>
        </w:rPr>
      </w:pPr>
      <w:r>
        <w:rPr>
          <w:lang w:val="sr-RS"/>
        </w:rPr>
        <w:t>Hinblick auf die Religion, Handbuch des Staatskirchenrechts der Bundesrepublik Deutchland, I, Berlin 1994.</w:t>
      </w:r>
    </w:p>
    <w:p>
      <w:pPr>
        <w:pStyle w:val="Normal"/>
        <w:jc w:val="both"/>
        <w:rPr>
          <w:lang w:val="sr-RS"/>
        </w:rPr>
      </w:pPr>
      <w:r>
        <w:rPr>
          <w:lang w:val="sr-RS"/>
        </w:rPr>
      </w:r>
    </w:p>
    <w:p>
      <w:pPr>
        <w:pStyle w:val="Normal"/>
        <w:jc w:val="both"/>
        <w:rPr>
          <w:lang w:val="sr-RS"/>
        </w:rPr>
      </w:pPr>
      <w:r>
        <w:rPr>
          <w:lang w:val="sr-RS"/>
        </w:rPr>
        <w:t>22. Balodis, R. State and Church in the Baltic States, Riga 2001.</w:t>
      </w:r>
    </w:p>
    <w:p>
      <w:pPr>
        <w:pStyle w:val="Normal"/>
        <w:jc w:val="both"/>
        <w:rPr>
          <w:lang w:val="sr-RS"/>
        </w:rPr>
      </w:pPr>
      <w:r>
        <w:rPr>
          <w:lang w:val="sr-RS"/>
        </w:rPr>
      </w:r>
    </w:p>
    <w:p>
      <w:pPr>
        <w:pStyle w:val="Normal"/>
        <w:jc w:val="both"/>
        <w:rPr>
          <w:lang w:val="sr-RS"/>
        </w:rPr>
      </w:pPr>
      <w:r>
        <w:rPr>
          <w:lang w:val="sr-RS"/>
        </w:rPr>
        <w:t>23. J. Robert, „Religious Liberty and French Secularism“, Brigham Young University Law Review, Provo 2/2003,</w:t>
      </w:r>
    </w:p>
    <w:p>
      <w:pPr>
        <w:pStyle w:val="Normal"/>
        <w:jc w:val="both"/>
        <w:rPr>
          <w:lang w:val="sr-RS"/>
        </w:rPr>
      </w:pPr>
      <w:r>
        <w:rPr>
          <w:lang w:val="sr-RS"/>
        </w:rPr>
      </w:r>
    </w:p>
    <w:p>
      <w:pPr>
        <w:pStyle w:val="Normal"/>
        <w:jc w:val="both"/>
        <w:rPr>
          <w:lang w:val="sr-RS"/>
        </w:rPr>
      </w:pPr>
      <w:r>
        <w:rPr>
          <w:lang w:val="sr-RS"/>
        </w:rPr>
        <w:t>24. В. Димитријевић, М. Пауновић, Људска права (уџбеник), Београд 1997.</w:t>
      </w:r>
    </w:p>
    <w:p>
      <w:pPr>
        <w:pStyle w:val="Normal"/>
        <w:jc w:val="both"/>
        <w:rPr>
          <w:lang w:val="sr-RS"/>
        </w:rPr>
      </w:pPr>
      <w:r>
        <w:rPr>
          <w:lang w:val="sr-RS"/>
        </w:rPr>
      </w:r>
    </w:p>
    <w:p>
      <w:pPr>
        <w:pStyle w:val="Normal"/>
        <w:jc w:val="both"/>
        <w:rPr>
          <w:lang w:val="sr-RS"/>
        </w:rPr>
      </w:pPr>
      <w:r>
        <w:rPr>
          <w:lang w:val="sr-RS"/>
        </w:rPr>
        <w:t>25. D. Clarke, ,,Freedom of Thought in Schools: A Comparative Study‘‘, International and Comparative Law Quarterly, Vol. 35, 1986.</w:t>
      </w:r>
    </w:p>
    <w:p>
      <w:pPr>
        <w:pStyle w:val="Normal"/>
        <w:jc w:val="both"/>
        <w:rPr>
          <w:lang w:val="sr-RS"/>
        </w:rPr>
      </w:pPr>
      <w:r>
        <w:rPr>
          <w:lang w:val="sr-RS"/>
        </w:rPr>
      </w:r>
    </w:p>
    <w:p>
      <w:pPr>
        <w:pStyle w:val="Normal"/>
        <w:jc w:val="both"/>
        <w:rPr>
          <w:lang w:val="sr-RS"/>
        </w:rPr>
      </w:pPr>
      <w:r>
        <w:rPr>
          <w:lang w:val="sr-RS"/>
        </w:rPr>
        <w:t>26. M. Friedman, ,,The Parental Right to Control the Religious Education of the Child‘‘, Harvard Law Review, Vol. 29, 1916.</w:t>
      </w:r>
    </w:p>
    <w:p>
      <w:pPr>
        <w:pStyle w:val="Normal"/>
        <w:jc w:val="both"/>
        <w:rPr>
          <w:lang w:val="sr-RS"/>
        </w:rPr>
      </w:pPr>
      <w:r>
        <w:rPr>
          <w:lang w:val="sr-RS"/>
        </w:rPr>
      </w:r>
    </w:p>
    <w:p>
      <w:pPr>
        <w:pStyle w:val="Normal"/>
        <w:jc w:val="both"/>
        <w:rPr>
          <w:lang w:val="sr-RS"/>
        </w:rPr>
      </w:pPr>
      <w:r>
        <w:rPr>
          <w:lang w:val="sr-RS"/>
        </w:rPr>
        <w:t>27. F. Jacobs, R. White, The European Convention on Human Rights, Oxford 1996.</w:t>
      </w:r>
    </w:p>
    <w:p>
      <w:pPr>
        <w:pStyle w:val="Normal"/>
        <w:jc w:val="both"/>
        <w:rPr>
          <w:lang w:val="sr-RS"/>
        </w:rPr>
      </w:pPr>
      <w:r>
        <w:rPr>
          <w:lang w:val="sr-RS"/>
        </w:rPr>
      </w:r>
    </w:p>
    <w:p>
      <w:pPr>
        <w:pStyle w:val="Normal"/>
        <w:jc w:val="both"/>
        <w:rPr>
          <w:lang w:val="sr-RS"/>
        </w:rPr>
      </w:pPr>
      <w:r>
        <w:rPr>
          <w:lang w:val="sr-RS"/>
        </w:rPr>
        <w:t>28. G. Van Bueren, The International Law on the Rights of the Child, The Hague, 1998.</w:t>
      </w:r>
    </w:p>
    <w:p>
      <w:pPr>
        <w:pStyle w:val="Normal"/>
        <w:jc w:val="both"/>
        <w:rPr>
          <w:lang w:val="sr-RS"/>
        </w:rPr>
      </w:pPr>
      <w:r>
        <w:rPr>
          <w:lang w:val="sr-RS"/>
        </w:rPr>
      </w:r>
    </w:p>
    <w:p>
      <w:pPr>
        <w:pStyle w:val="Normal"/>
        <w:jc w:val="both"/>
        <w:rPr>
          <w:lang w:val="sr-RS"/>
        </w:rPr>
      </w:pPr>
      <w:r>
        <w:rPr>
          <w:lang w:val="sr-RS"/>
        </w:rPr>
      </w:r>
    </w:p>
    <w:p>
      <w:pPr>
        <w:pStyle w:val="Normal"/>
        <w:jc w:val="both"/>
        <w:rPr>
          <w:lang w:val="sr-RS"/>
        </w:rPr>
      </w:pPr>
      <w:r>
        <w:rPr>
          <w:lang w:val="sr-RS"/>
        </w:rPr>
      </w:r>
    </w:p>
    <w:p>
      <w:pPr>
        <w:pStyle w:val="Normal"/>
        <w:jc w:val="both"/>
        <w:rPr>
          <w:b/>
          <w:bCs/>
          <w:lang w:val="sr-RS"/>
        </w:rPr>
      </w:pPr>
      <w:r>
        <w:rPr>
          <w:b/>
          <w:bCs/>
          <w:lang w:val="sr-RS"/>
        </w:rPr>
        <w:t>Радна биографија:</w:t>
      </w:r>
    </w:p>
    <w:p>
      <w:pPr>
        <w:pStyle w:val="Normal"/>
        <w:jc w:val="both"/>
        <w:rPr>
          <w:lang w:val="sr-RS"/>
        </w:rPr>
      </w:pPr>
      <w:r>
        <w:rPr>
          <w:lang w:val="sr-RS"/>
        </w:rPr>
      </w:r>
    </w:p>
    <w:p>
      <w:pPr>
        <w:pStyle w:val="Normal"/>
        <w:jc w:val="both"/>
        <w:rPr>
          <w:lang w:val="sr-RS"/>
        </w:rPr>
      </w:pPr>
      <w:r>
        <w:rPr>
          <w:lang w:val="sr-RS"/>
        </w:rPr>
      </w:r>
    </w:p>
    <w:p>
      <w:pPr>
        <w:pStyle w:val="NormalWeb"/>
        <w:spacing w:before="280" w:afterAutospacing="0" w:after="0"/>
        <w:rPr>
          <w:color w:themeColor="text1" w:val="000000"/>
        </w:rPr>
      </w:pPr>
      <w:r>
        <w:rPr>
          <w:color w:themeColor="text1" w:val="000000"/>
          <w:u w:val="none"/>
          <w:lang w:val="sr-CS"/>
        </w:rPr>
        <w:t>Жељко Вучковић је рођен 25. јула 1988. године у Зајечару, а о</w:t>
      </w:r>
      <w:r>
        <w:rPr>
          <w:color w:themeColor="text1" w:val="000000"/>
          <w:lang w:val="sr-CS"/>
        </w:rPr>
        <w:t xml:space="preserve">сновну школу завршио у Књажевцу 2003. године. Диплому средње школе гимназије стекао је у Сокобањи 2007. године. Дипломирао је на Практичном смеру Православног Богословског факултета Универзитета у Беогрду 2016. године и стекао звање </w:t>
      </w:r>
      <w:r>
        <w:rPr>
          <w:i/>
          <w:iCs/>
          <w:color w:themeColor="text1" w:val="000000"/>
          <w:lang w:val="sr-CS"/>
        </w:rPr>
        <w:t>теолог</w:t>
      </w:r>
      <w:r>
        <w:rPr>
          <w:color w:themeColor="text1" w:val="000000"/>
        </w:rPr>
        <w:t xml:space="preserve">. </w:t>
      </w:r>
      <w:r>
        <w:rPr>
          <w:color w:themeColor="text1" w:val="000000"/>
          <w:lang w:val="sr-CS"/>
        </w:rPr>
        <w:t>Мастер академске студије на смеру Религија у друштву, култури и европским интеграцијама при Универзитету у Београду уписао је 2023. године. Каријеру наставника верске наставе започео је 2015. године у ОШ „Митрополит Михаило“ у Сокобањи. Од 2020. године, поред поменуте школе, ради као наставник верске наставе и у „Средњој школи Бранислав Нушић“ у Сокобањи.</w:t>
      </w:r>
    </w:p>
    <w:p>
      <w:pPr>
        <w:pStyle w:val="NormalWeb"/>
        <w:spacing w:before="280" w:afterAutospacing="0" w:after="0"/>
        <w:rPr>
          <w:color w:themeColor="text1" w:val="000000"/>
          <w:lang w:val="sr-CS"/>
        </w:rPr>
      </w:pPr>
      <w:r>
        <w:rPr>
          <w:color w:themeColor="text1" w:val="000000"/>
          <w:lang w:val="sr-CS"/>
        </w:rPr>
      </w:r>
    </w:p>
    <w:p>
      <w:pPr>
        <w:pStyle w:val="Normal"/>
        <w:spacing w:lineRule="auto" w:line="240" w:before="0" w:after="240"/>
        <w:ind w:firstLine="708"/>
        <w:jc w:val="both"/>
        <w:rPr>
          <w:rFonts w:ascii="Times New Roman" w:hAnsi="Times New Roman" w:eastAsia="Times New Roman" w:cs="Times New Roman"/>
          <w:color w:val="000000"/>
          <w:sz w:val="24"/>
          <w:szCs w:val="24"/>
        </w:rPr>
      </w:pPr>
      <w:r>
        <w:rPr>
          <w:rFonts w:eastAsia="Times New Roman" w:cs="Times New Roman"/>
          <w:b/>
          <w:bCs/>
          <w:color w:val="000000"/>
          <w:sz w:val="24"/>
          <w:szCs w:val="24"/>
        </w:rPr>
        <w:t xml:space="preserve">   </w:t>
      </w:r>
      <w:r>
        <w:rPr>
          <w:rFonts w:eastAsia="Times New Roman" w:cs="Times New Roman"/>
          <w:b/>
          <w:bCs/>
          <w:color w:val="000000"/>
          <w:sz w:val="24"/>
          <w:szCs w:val="24"/>
        </w:rPr>
        <w:t xml:space="preserve">Ментор    </w:t>
        <w:tab/>
        <w:tab/>
        <w:tab/>
        <w:tab/>
        <w:tab/>
        <w:t xml:space="preserve">                      </w:t>
      </w:r>
      <w:r>
        <w:rPr>
          <w:rFonts w:eastAsia="Times New Roman" w:cs="Times New Roman"/>
          <w:b/>
          <w:bCs/>
          <w:color w:val="000000"/>
          <w:sz w:val="24"/>
          <w:szCs w:val="24"/>
          <w:lang w:val="sr-BA"/>
        </w:rPr>
        <w:t xml:space="preserve">                </w:t>
      </w:r>
      <w:r>
        <w:rPr>
          <w:rFonts w:eastAsia="Times New Roman" w:cs="Times New Roman"/>
          <w:b/>
          <w:bCs/>
          <w:color w:val="000000"/>
          <w:sz w:val="24"/>
          <w:szCs w:val="24"/>
        </w:rPr>
        <w:t>Кандидат</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color w:val="000000"/>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color w:val="000000"/>
          <w:sz w:val="24"/>
          <w:szCs w:val="24"/>
        </w:rPr>
        <w:t>________________________</w:t>
      </w:r>
      <w:r>
        <w:rPr>
          <w:rFonts w:eastAsia="Times New Roman" w:cs="Times New Roman"/>
          <w:color w:val="000000"/>
          <w:sz w:val="24"/>
          <w:szCs w:val="24"/>
        </w:rPr>
        <w:t>_</w:t>
      </w:r>
      <w:r>
        <w:rPr>
          <w:rFonts w:eastAsia="Times New Roman" w:cs="Times New Roman"/>
          <w:color w:val="000000"/>
          <w:sz w:val="24"/>
          <w:szCs w:val="24"/>
        </w:rPr>
        <w:t xml:space="preserve">                                                  </w:t>
      </w:r>
      <w:r>
        <w:rPr>
          <w:rFonts w:eastAsia="Times New Roman" w:cs="Times New Roman"/>
          <w:color w:val="000000"/>
          <w:sz w:val="24"/>
          <w:szCs w:val="24"/>
        </w:rPr>
        <w:t>_</w:t>
      </w:r>
      <w:r>
        <w:rPr>
          <w:rFonts w:eastAsia="Times New Roman" w:cs="Times New Roman"/>
          <w:color w:val="000000"/>
          <w:sz w:val="24"/>
          <w:szCs w:val="24"/>
        </w:rPr>
        <w:t>________________________</w:t>
      </w:r>
    </w:p>
    <w:p>
      <w:pPr>
        <w:pStyle w:val="Normal"/>
        <w:spacing w:lineRule="auto" w:line="240" w:before="0" w:after="0"/>
        <w:rPr/>
      </w:pPr>
      <w:r>
        <w:rPr>
          <w:rFonts w:eastAsia="Times New Roman" w:cs="Times New Roman"/>
          <w:color w:val="000000"/>
          <w:sz w:val="24"/>
          <w:szCs w:val="24"/>
        </w:rPr>
        <w:t xml:space="preserve">Проф. др </w:t>
      </w:r>
      <w:r>
        <w:rPr>
          <w:rFonts w:eastAsia="Times New Roman" w:cs="Times New Roman"/>
          <w:color w:val="000000"/>
          <w:sz w:val="24"/>
          <w:szCs w:val="24"/>
        </w:rPr>
        <w:t>Далибор</w:t>
      </w:r>
      <w:r>
        <w:rPr>
          <w:rFonts w:eastAsia="Times New Roman" w:cs="Times New Roman"/>
          <w:color w:val="000000"/>
          <w:sz w:val="24"/>
          <w:szCs w:val="24"/>
        </w:rPr>
        <w:t xml:space="preserve"> </w:t>
      </w:r>
      <w:r>
        <w:rPr>
          <w:rFonts w:eastAsia="Times New Roman" w:cs="Times New Roman"/>
          <w:color w:val="000000"/>
          <w:sz w:val="24"/>
          <w:szCs w:val="24"/>
        </w:rPr>
        <w:t>Ђукић</w:t>
      </w:r>
      <w:r>
        <w:rPr>
          <w:rFonts w:eastAsia="Times New Roman" w:cs="Times New Roman"/>
          <w:color w:val="000000"/>
          <w:sz w:val="24"/>
          <w:szCs w:val="24"/>
        </w:rPr>
        <w:t>                               </w:t>
      </w:r>
      <w:r>
        <w:rPr>
          <w:rFonts w:eastAsia="Times New Roman" w:cs="Times New Roman"/>
          <w:color w:val="000000"/>
          <w:sz w:val="24"/>
          <w:szCs w:val="24"/>
          <w:lang w:val="sr-BA"/>
        </w:rPr>
        <w:t xml:space="preserve">                                              </w:t>
      </w:r>
      <w:r>
        <w:rPr>
          <w:rFonts w:eastAsia="Times New Roman" w:cs="Times New Roman"/>
          <w:color w:val="000000"/>
          <w:sz w:val="24"/>
          <w:szCs w:val="24"/>
          <w:lang w:val="sr-BA"/>
        </w:rPr>
        <w:t>Жељко Вучковић</w:t>
      </w:r>
    </w:p>
    <w:p>
      <w:pPr>
        <w:pStyle w:val="Normal"/>
        <w:spacing w:lineRule="auto" w:line="240" w:before="0" w:after="0"/>
        <w:jc w:val="end"/>
        <w:rPr/>
      </w:pPr>
      <w:r>
        <w:rPr>
          <w:rFonts w:eastAsia="Times New Roman" w:cs="Times New Roman"/>
          <w:color w:val="000000"/>
          <w:sz w:val="24"/>
          <w:szCs w:val="24"/>
          <w:lang w:val="sr-RS"/>
        </w:rPr>
        <w:t>Б</w:t>
      </w:r>
      <w:r>
        <w:rPr>
          <w:rFonts w:eastAsia="Times New Roman" w:cs="Times New Roman"/>
          <w:color w:val="000000"/>
          <w:sz w:val="24"/>
          <w:szCs w:val="24"/>
        </w:rPr>
        <w:t xml:space="preserve">рој индекса:  </w:t>
      </w:r>
      <w:r>
        <w:rPr>
          <w:rFonts w:eastAsia="Times New Roman" w:cs="Times New Roman"/>
          <w:color w:val="000000"/>
          <w:sz w:val="24"/>
          <w:szCs w:val="24"/>
        </w:rPr>
        <w:t>14</w:t>
      </w:r>
      <w:r>
        <w:rPr>
          <w:rFonts w:eastAsia="Times New Roman" w:cs="Times New Roman"/>
          <w:color w:val="000000"/>
          <w:sz w:val="24"/>
          <w:szCs w:val="24"/>
        </w:rPr>
        <w:t>/20</w:t>
      </w:r>
      <w:r>
        <w:rPr>
          <w:rFonts w:eastAsia="Times New Roman" w:cs="Times New Roman"/>
          <w:color w:val="000000"/>
          <w:sz w:val="24"/>
          <w:szCs w:val="24"/>
        </w:rPr>
        <w:t>23</w:t>
      </w:r>
    </w:p>
    <w:p>
      <w:pPr>
        <w:pStyle w:val="Normal"/>
        <w:spacing w:lineRule="auto" w:line="240" w:before="0" w:after="0"/>
        <w:rPr>
          <w:lang w:val="sr-BA"/>
        </w:rPr>
      </w:pPr>
      <w:r>
        <w:rPr>
          <w:lang w:val="sr-BA"/>
        </w:rPr>
      </w:r>
    </w:p>
    <w:p>
      <w:pPr>
        <w:pStyle w:val="Normal"/>
        <w:rPr>
          <w:rFonts w:ascii="Times New Roman" w:hAnsi="Times New Roman" w:cs="Times New Roman"/>
          <w:b/>
          <w:sz w:val="24"/>
          <w:szCs w:val="24"/>
          <w:lang w:val="sr-CS"/>
        </w:rPr>
      </w:pPr>
      <w:r>
        <w:rPr>
          <w:rFonts w:cs="Times New Roman"/>
          <w:b/>
          <w:sz w:val="24"/>
          <w:szCs w:val="24"/>
          <w:lang w:val="sr-CS"/>
        </w:rPr>
      </w:r>
    </w:p>
    <w:p>
      <w:pPr>
        <w:pStyle w:val="Normal"/>
        <w:rPr>
          <w:rFonts w:ascii="Times New Roman" w:hAnsi="Times New Roman" w:cs="Times New Roman"/>
          <w:b/>
          <w:sz w:val="24"/>
          <w:szCs w:val="24"/>
          <w:lang w:val="sr-CS"/>
        </w:rPr>
      </w:pPr>
      <w:r>
        <w:rPr>
          <w:rFonts w:cs="Times New Roman"/>
          <w:b/>
          <w:sz w:val="24"/>
          <w:szCs w:val="24"/>
          <w:lang w:val="sr-CS"/>
        </w:rPr>
        <w:t>Студијски програм:</w:t>
      </w:r>
    </w:p>
    <w:p>
      <w:pPr>
        <w:pStyle w:val="Normal"/>
        <w:ind w:end="1644"/>
        <w:rPr>
          <w:rFonts w:ascii="Times New Roman" w:hAnsi="Times New Roman" w:cs="Times New Roman"/>
          <w:i/>
          <w:sz w:val="24"/>
          <w:szCs w:val="24"/>
          <w:lang w:val="ru-RU"/>
        </w:rPr>
      </w:pPr>
      <w:r>
        <w:rPr>
          <w:rFonts w:cs="Times New Roman"/>
          <w:bCs/>
          <w:sz w:val="24"/>
          <w:szCs w:val="24"/>
          <w:lang w:val="sr-Latn-CS"/>
        </w:rPr>
        <w:t>Р</w:t>
      </w:r>
      <w:r>
        <w:rPr>
          <w:rFonts w:cs="Times New Roman"/>
          <w:bCs/>
          <w:sz w:val="24"/>
          <w:szCs w:val="24"/>
          <w:lang w:val="ru-RU"/>
        </w:rPr>
        <w:t>елигија у друштву, култури и европским интеграцијама</w:t>
      </w:r>
      <w:r>
        <w:rPr>
          <w:rFonts w:cs="Times New Roman"/>
          <w:sz w:val="24"/>
          <w:szCs w:val="24"/>
          <w:lang w:val="sr-CS"/>
        </w:rPr>
        <w:t>, 120 ЕСПБ</w:t>
      </w:r>
    </w:p>
    <w:p>
      <w:pPr>
        <w:pStyle w:val="Normal"/>
        <w:tabs>
          <w:tab w:val="clear" w:pos="720"/>
          <w:tab w:val="left" w:pos="3315" w:leader="none"/>
        </w:tabs>
        <w:rPr>
          <w:rFonts w:ascii="Times New Roman" w:hAnsi="Times New Roman" w:cs="Times New Roman"/>
          <w:sz w:val="16"/>
          <w:szCs w:val="16"/>
          <w:lang w:val="sr-CS"/>
        </w:rPr>
      </w:pPr>
      <w:r>
        <w:rPr>
          <w:rFonts w:cs="Times New Roman"/>
          <w:sz w:val="16"/>
          <w:szCs w:val="16"/>
          <w:lang w:val="sr-CS"/>
        </w:rPr>
      </w:r>
    </w:p>
    <w:p>
      <w:pPr>
        <w:pStyle w:val="Normal"/>
        <w:ind w:start="-57" w:end="2551"/>
        <w:rPr>
          <w:rFonts w:ascii="Times New Roman" w:hAnsi="Times New Roman" w:cs="Times New Roman"/>
          <w:b/>
          <w:sz w:val="24"/>
          <w:szCs w:val="24"/>
        </w:rPr>
      </w:pPr>
      <w:r>
        <w:rPr>
          <w:rFonts w:cs="Times New Roman"/>
          <w:b/>
          <w:sz w:val="24"/>
          <w:szCs w:val="24"/>
          <w:lang w:val="sr-CS"/>
        </w:rPr>
        <w:t xml:space="preserve"> </w:t>
      </w:r>
      <w:r>
        <w:rPr>
          <w:rFonts w:cs="Times New Roman"/>
          <w:b/>
          <w:sz w:val="24"/>
          <w:szCs w:val="24"/>
          <w:lang w:val="sr-CS"/>
        </w:rPr>
        <w:t>Наслов тезе:</w:t>
      </w:r>
    </w:p>
    <w:p>
      <w:pPr>
        <w:pStyle w:val="Normal"/>
        <w:rPr>
          <w:rFonts w:ascii="Times New Roman" w:hAnsi="Times New Roman" w:cs="Times New Roman"/>
          <w:sz w:val="24"/>
          <w:szCs w:val="24"/>
        </w:rPr>
      </w:pPr>
      <w:r>
        <w:rPr>
          <w:rFonts w:cs="Times New Roman"/>
          <w:sz w:val="24"/>
          <w:szCs w:val="24"/>
        </w:rPr>
        <w:t>„</w:t>
      </w:r>
      <w:r>
        <w:rPr>
          <w:rFonts w:cs="Times New Roman"/>
          <w:sz w:val="24"/>
          <w:szCs w:val="24"/>
          <w:lang w:val="sr-BA"/>
        </w:rPr>
        <w:t>Правни оквир извођења верске наставе у државним школама: упоредноправна анализа</w:t>
      </w:r>
      <w:r>
        <w:rPr>
          <w:rFonts w:cs="Times New Roman"/>
          <w:sz w:val="24"/>
          <w:szCs w:val="24"/>
        </w:rPr>
        <w:t>“</w:t>
      </w:r>
    </w:p>
    <w:p>
      <w:pPr>
        <w:pStyle w:val="Default"/>
        <w:rPr>
          <w:rFonts w:eastAsia="Times New Roman"/>
          <w:color w:val="auto"/>
          <w:lang w:val="sr-CS"/>
        </w:rPr>
      </w:pPr>
      <w:r>
        <w:rPr>
          <w:rFonts w:eastAsia="Times New Roman"/>
          <w:color w:val="auto"/>
          <w:lang w:val="sr-CS"/>
        </w:rPr>
      </w:r>
    </w:p>
    <w:p>
      <w:pPr>
        <w:pStyle w:val="Normal"/>
        <w:rPr>
          <w:rFonts w:ascii="Times New Roman" w:hAnsi="Times New Roman" w:cs="Times New Roman"/>
          <w:b/>
          <w:sz w:val="24"/>
          <w:szCs w:val="24"/>
          <w:lang w:val="sr-CS"/>
        </w:rPr>
      </w:pPr>
      <w:r>
        <w:rPr>
          <w:rFonts w:cs="Times New Roman"/>
          <w:b/>
          <w:sz w:val="24"/>
          <w:szCs w:val="24"/>
          <w:lang w:val="sr-CS"/>
        </w:rPr>
        <w:t>Кандидат:</w:t>
      </w:r>
    </w:p>
    <w:p>
      <w:pPr>
        <w:pStyle w:val="Normal"/>
        <w:rPr>
          <w:rFonts w:ascii="Times New Roman" w:hAnsi="Times New Roman" w:cs="Times New Roman"/>
          <w:sz w:val="24"/>
          <w:szCs w:val="24"/>
          <w:lang w:val="sr-RS"/>
        </w:rPr>
      </w:pPr>
      <w:r>
        <w:rPr>
          <w:rFonts w:cs="Times New Roman"/>
          <w:sz w:val="24"/>
          <w:szCs w:val="24"/>
        </w:rPr>
        <w:t>Жељко</w:t>
      </w:r>
      <w:r>
        <w:rPr>
          <w:rFonts w:cs="Times New Roman"/>
          <w:sz w:val="24"/>
          <w:szCs w:val="24"/>
        </w:rPr>
        <w:t xml:space="preserve"> </w:t>
      </w:r>
      <w:r>
        <w:rPr>
          <w:rFonts w:cs="Times New Roman"/>
          <w:sz w:val="24"/>
          <w:szCs w:val="24"/>
        </w:rPr>
        <w:t>Вучк</w:t>
      </w:r>
      <w:r>
        <w:rPr>
          <w:rFonts w:cs="Times New Roman"/>
          <w:sz w:val="24"/>
          <w:szCs w:val="24"/>
        </w:rPr>
        <w:t>овић</w:t>
      </w:r>
    </w:p>
    <w:p>
      <w:pPr>
        <w:pStyle w:val="Normal"/>
        <w:rPr>
          <w:rFonts w:ascii="Times New Roman" w:hAnsi="Times New Roman" w:cs="Times New Roman"/>
          <w:sz w:val="16"/>
          <w:szCs w:val="16"/>
          <w:lang w:val="sr-CS"/>
        </w:rPr>
      </w:pPr>
      <w:r>
        <w:rPr>
          <w:rFonts w:cs="Times New Roman"/>
          <w:sz w:val="16"/>
          <w:szCs w:val="16"/>
          <w:lang w:val="sr-CS"/>
        </w:rPr>
      </w:r>
    </w:p>
    <w:p>
      <w:pPr>
        <w:pStyle w:val="Normal"/>
        <w:rPr>
          <w:rFonts w:ascii="Times New Roman" w:hAnsi="Times New Roman" w:cs="Times New Roman"/>
          <w:b/>
          <w:i/>
          <w:sz w:val="24"/>
          <w:szCs w:val="24"/>
          <w:lang w:val="sr-CS"/>
        </w:rPr>
      </w:pPr>
      <w:r>
        <w:rPr>
          <w:rFonts w:cs="Times New Roman"/>
          <w:b/>
          <w:sz w:val="24"/>
          <w:szCs w:val="24"/>
          <w:lang w:val="sr-CS"/>
        </w:rPr>
        <w:t>Чланови комисије:</w:t>
      </w:r>
    </w:p>
    <w:p>
      <w:pPr>
        <w:pStyle w:val="Normal"/>
        <w:numPr>
          <w:ilvl w:val="0"/>
          <w:numId w:val="2"/>
        </w:numPr>
        <w:suppressAutoHyphens w:val="true"/>
        <w:spacing w:lineRule="auto" w:line="360" w:before="0" w:after="0"/>
        <w:ind w:hanging="340" w:start="283"/>
        <w:jc w:val="both"/>
        <w:textAlignment w:val="baseline"/>
        <w:rPr>
          <w:rFonts w:ascii="Times New Roman" w:hAnsi="Times New Roman" w:cs="Times New Roman"/>
          <w:sz w:val="24"/>
          <w:szCs w:val="24"/>
        </w:rPr>
      </w:pPr>
      <w:r>
        <w:rPr>
          <w:rFonts w:cs="Times New Roman"/>
          <w:sz w:val="24"/>
          <w:szCs w:val="24"/>
        </w:rPr>
        <w:t xml:space="preserve">Проф. др Зоран Крстић, редовни професор Православног богословског факултета у Београду.  </w:t>
      </w:r>
    </w:p>
    <w:p>
      <w:pPr>
        <w:pStyle w:val="Normal"/>
        <w:numPr>
          <w:ilvl w:val="0"/>
          <w:numId w:val="2"/>
        </w:numPr>
        <w:suppressAutoHyphens w:val="true"/>
        <w:spacing w:lineRule="auto" w:line="360" w:before="0" w:after="0"/>
        <w:ind w:hanging="340" w:start="283"/>
        <w:jc w:val="both"/>
        <w:textAlignment w:val="baseline"/>
        <w:rPr>
          <w:rFonts w:ascii="Times New Roman" w:hAnsi="Times New Roman" w:cs="Times New Roman"/>
          <w:sz w:val="24"/>
          <w:szCs w:val="24"/>
        </w:rPr>
      </w:pPr>
      <w:r>
        <w:rPr>
          <w:rFonts w:cs="Times New Roman"/>
          <w:sz w:val="24"/>
          <w:szCs w:val="24"/>
        </w:rPr>
        <w:t xml:space="preserve">Проф. др </w:t>
      </w:r>
      <w:r>
        <w:rPr>
          <w:rFonts w:cs="Times New Roman"/>
          <w:sz w:val="24"/>
          <w:szCs w:val="24"/>
        </w:rPr>
        <w:t>Раде Кисић</w:t>
      </w:r>
      <w:r>
        <w:rPr>
          <w:rFonts w:cs="Times New Roman"/>
          <w:sz w:val="24"/>
          <w:szCs w:val="24"/>
        </w:rPr>
        <w:t xml:space="preserve">, </w:t>
      </w:r>
      <w:r>
        <w:rPr>
          <w:rFonts w:cs="Times New Roman"/>
          <w:sz w:val="24"/>
          <w:szCs w:val="24"/>
        </w:rPr>
        <w:t>ванредн</w:t>
      </w:r>
      <w:r>
        <w:rPr>
          <w:rFonts w:cs="Times New Roman"/>
          <w:sz w:val="24"/>
          <w:szCs w:val="24"/>
        </w:rPr>
        <w:t>и професор Православног богословског факултета у Београду.</w:t>
      </w:r>
    </w:p>
    <w:p>
      <w:pPr>
        <w:pStyle w:val="Normal"/>
        <w:jc w:val="both"/>
        <w:rPr>
          <w:rFonts w:ascii="Times New Roman" w:hAnsi="Times New Roman" w:cs="Times New Roman"/>
          <w:bCs/>
          <w:sz w:val="16"/>
          <w:szCs w:val="16"/>
          <w:lang w:val="ru-RU"/>
        </w:rPr>
      </w:pPr>
      <w:r>
        <w:rPr>
          <w:rFonts w:cs="Times New Roman"/>
          <w:bCs/>
          <w:sz w:val="16"/>
          <w:szCs w:val="16"/>
          <w:lang w:val="ru-RU"/>
        </w:rPr>
      </w:r>
    </w:p>
    <w:p>
      <w:pPr>
        <w:pStyle w:val="Normal"/>
        <w:jc w:val="both"/>
        <w:rPr>
          <w:rFonts w:ascii="Times New Roman" w:hAnsi="Times New Roman" w:cs="Times New Roman"/>
          <w:b/>
          <w:sz w:val="24"/>
          <w:szCs w:val="24"/>
          <w:lang w:val="sr-CS"/>
        </w:rPr>
      </w:pPr>
      <w:r>
        <w:rPr>
          <w:rFonts w:cs="Times New Roman"/>
          <w:b/>
          <w:sz w:val="24"/>
          <w:szCs w:val="24"/>
          <w:lang w:val="sr-CS"/>
        </w:rPr>
        <w:t xml:space="preserve">Ментор: </w:t>
      </w:r>
    </w:p>
    <w:p>
      <w:pPr>
        <w:pStyle w:val="Normal"/>
        <w:tabs>
          <w:tab w:val="clear" w:pos="720"/>
          <w:tab w:val="left" w:pos="9360" w:leader="none"/>
        </w:tabs>
        <w:jc w:val="both"/>
        <w:rPr>
          <w:rFonts w:ascii="Times New Roman" w:hAnsi="Times New Roman" w:cs="Times New Roman"/>
          <w:b/>
          <w:sz w:val="24"/>
          <w:szCs w:val="24"/>
        </w:rPr>
      </w:pPr>
      <w:r>
        <w:rPr>
          <w:rFonts w:cs="Times New Roman"/>
          <w:bCs/>
          <w:sz w:val="24"/>
          <w:szCs w:val="24"/>
          <w:lang w:val="ru-RU"/>
        </w:rPr>
        <w:t xml:space="preserve">Проф. др </w:t>
      </w:r>
      <w:r>
        <w:rPr>
          <w:rFonts w:cs="Times New Roman"/>
          <w:bCs/>
          <w:sz w:val="24"/>
          <w:szCs w:val="24"/>
          <w:lang w:val="ru-RU"/>
        </w:rPr>
        <w:t>Далибор Ђукић</w:t>
      </w:r>
      <w:r>
        <w:rPr>
          <w:rFonts w:cs="Times New Roman"/>
          <w:bCs/>
          <w:sz w:val="24"/>
          <w:szCs w:val="24"/>
          <w:lang w:val="ru-RU"/>
        </w:rPr>
        <w:t xml:space="preserve">, </w:t>
      </w:r>
      <w:r>
        <w:rPr>
          <w:rFonts w:cs="Times New Roman"/>
          <w:bCs/>
          <w:sz w:val="24"/>
          <w:szCs w:val="24"/>
          <w:lang w:val="ru-RU"/>
        </w:rPr>
        <w:t>ванредн</w:t>
      </w:r>
      <w:r>
        <w:rPr>
          <w:rFonts w:cs="Times New Roman"/>
          <w:bCs/>
          <w:sz w:val="24"/>
          <w:szCs w:val="24"/>
          <w:lang w:val="ru-RU"/>
        </w:rPr>
        <w:t>и</w:t>
      </w:r>
      <w:r>
        <w:rPr>
          <w:rFonts w:cs="Times New Roman"/>
          <w:bCs/>
          <w:color w:val="FF0000"/>
          <w:sz w:val="24"/>
          <w:szCs w:val="24"/>
        </w:rPr>
        <w:t xml:space="preserve"> </w:t>
      </w:r>
      <w:r>
        <w:rPr>
          <w:rFonts w:cs="Times New Roman"/>
          <w:bCs/>
          <w:sz w:val="24"/>
          <w:szCs w:val="24"/>
        </w:rPr>
        <w:t>професор Пр</w:t>
      </w:r>
      <w:r>
        <w:rPr>
          <w:rFonts w:cs="Times New Roman"/>
          <w:bCs/>
          <w:sz w:val="24"/>
          <w:szCs w:val="24"/>
        </w:rPr>
        <w:t>авног</w:t>
      </w:r>
      <w:r>
        <w:rPr>
          <w:rFonts w:cs="Times New Roman"/>
          <w:bCs/>
          <w:sz w:val="24"/>
          <w:szCs w:val="24"/>
        </w:rPr>
        <w:t xml:space="preserve"> факултета у </w:t>
      </w:r>
      <w:r>
        <w:rPr>
          <w:rFonts w:cs="Times New Roman"/>
          <w:bCs/>
          <w:sz w:val="24"/>
          <w:szCs w:val="24"/>
        </w:rPr>
        <w:t>Београду</w:t>
      </w:r>
      <w:r>
        <w:rPr>
          <w:rFonts w:cs="Times New Roman"/>
          <w:bCs/>
          <w:sz w:val="24"/>
          <w:szCs w:val="24"/>
        </w:rPr>
        <w:t>.</w:t>
      </w:r>
    </w:p>
    <w:p>
      <w:pPr>
        <w:pStyle w:val="Normal"/>
        <w:tabs>
          <w:tab w:val="clear" w:pos="720"/>
          <w:tab w:val="left" w:pos="9360" w:leader="none"/>
        </w:tabs>
        <w:jc w:val="both"/>
        <w:rPr>
          <w:rFonts w:ascii="Times New Roman" w:hAnsi="Times New Roman" w:cs="Times New Roman"/>
          <w:b/>
          <w:sz w:val="24"/>
          <w:szCs w:val="24"/>
        </w:rPr>
      </w:pPr>
      <w:r>
        <w:rPr>
          <w:rFonts w:cs="Times New Roman"/>
          <w:bCs/>
          <w:sz w:val="24"/>
          <w:szCs w:val="24"/>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1080" w:hanging="360"/>
      </w:pPr>
      <w:rPr/>
    </w:lvl>
    <w:lvl w:ilvl="2">
      <w:start w:val="1"/>
      <w:numFmt w:val="decimal"/>
      <w:isLgl/>
      <w:lvlText w:val="%1.%2.%3."/>
      <w:lvlJc w:val="start"/>
      <w:pPr>
        <w:tabs>
          <w:tab w:val="num" w:pos="0"/>
        </w:tabs>
        <w:ind w:start="1800" w:hanging="720"/>
      </w:pPr>
      <w:rPr/>
    </w:lvl>
    <w:lvl w:ilvl="3">
      <w:start w:val="1"/>
      <w:numFmt w:val="decimal"/>
      <w:isLgl/>
      <w:lvlText w:val="%1.%2.%3.%4."/>
      <w:lvlJc w:val="start"/>
      <w:pPr>
        <w:tabs>
          <w:tab w:val="num" w:pos="0"/>
        </w:tabs>
        <w:ind w:start="2160" w:hanging="720"/>
      </w:pPr>
      <w:rPr/>
    </w:lvl>
    <w:lvl w:ilvl="4">
      <w:start w:val="1"/>
      <w:numFmt w:val="decimal"/>
      <w:isLgl/>
      <w:lvlText w:val="%1.%2.%3.%4.%5."/>
      <w:lvlJc w:val="start"/>
      <w:pPr>
        <w:tabs>
          <w:tab w:val="num" w:pos="0"/>
        </w:tabs>
        <w:ind w:start="2880" w:hanging="1080"/>
      </w:pPr>
      <w:rPr/>
    </w:lvl>
    <w:lvl w:ilvl="5">
      <w:start w:val="1"/>
      <w:numFmt w:val="decimal"/>
      <w:isLgl/>
      <w:lvlText w:val="%1.%2.%3.%4.%5.%6."/>
      <w:lvlJc w:val="start"/>
      <w:pPr>
        <w:tabs>
          <w:tab w:val="num" w:pos="0"/>
        </w:tabs>
        <w:ind w:start="3240" w:hanging="1080"/>
      </w:pPr>
      <w:rPr/>
    </w:lvl>
    <w:lvl w:ilvl="6">
      <w:start w:val="1"/>
      <w:numFmt w:val="decimal"/>
      <w:isLgl/>
      <w:lvlText w:val="%1.%2.%3.%4.%5.%6.%7."/>
      <w:lvlJc w:val="start"/>
      <w:pPr>
        <w:tabs>
          <w:tab w:val="num" w:pos="0"/>
        </w:tabs>
        <w:ind w:start="3960" w:hanging="1440"/>
      </w:pPr>
      <w:rPr/>
    </w:lvl>
    <w:lvl w:ilvl="7">
      <w:start w:val="1"/>
      <w:numFmt w:val="decimal"/>
      <w:isLgl/>
      <w:lvlText w:val="%1.%2.%3.%4.%5.%6.%7.%8."/>
      <w:lvlJc w:val="start"/>
      <w:pPr>
        <w:tabs>
          <w:tab w:val="num" w:pos="0"/>
        </w:tabs>
        <w:ind w:start="4320" w:hanging="1440"/>
      </w:pPr>
      <w:rPr/>
    </w:lvl>
    <w:lvl w:ilvl="8">
      <w:start w:val="1"/>
      <w:numFmt w:val="decimal"/>
      <w:isLgl/>
      <w:lvlText w:val="%1.%2.%3.%4.%5.%6.%7.%8.%9."/>
      <w:lvlJc w:val="start"/>
      <w:pPr>
        <w:tabs>
          <w:tab w:val="num" w:pos="0"/>
        </w:tabs>
        <w:ind w:start="5040" w:hanging="1800"/>
      </w:pPr>
      <w:rPr/>
    </w:lvl>
  </w:abstractNum>
  <w:abstractNum w:abstractNumId="2">
    <w:lvl w:ilvl="0">
      <w:start w:val="1"/>
      <w:numFmt w:val="decimal"/>
      <w:lvlText w:val="%1."/>
      <w:lvlJc w:val="start"/>
      <w:pPr>
        <w:tabs>
          <w:tab w:val="num" w:pos="0"/>
        </w:tabs>
        <w:ind w:start="720" w:hanging="360"/>
      </w:pPr>
      <w:rPr>
        <w:b w:val="false"/>
        <w:bCs/>
        <w:i w:val="false"/>
        <w:iCs w:val="false"/>
        <w:szCs w:val="24"/>
        <w:lang w:val="uz-Cyrl-UZ"/>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Body CS)" w:eastAsia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Calibri" w:cs="Times New Roman (Body CS)" w:eastAsia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Index" w:customStyle="1">
    <w:name w:val="Index"/>
    <w:basedOn w:val="Normal"/>
    <w:qFormat/>
    <w:pPr>
      <w:suppressLineNumbers/>
    </w:pPr>
    <w:rPr>
      <w:rFonts w:cs="Noto Sans Devanagari"/>
    </w:rPr>
  </w:style>
  <w:style w:type="paragraph" w:styleId="ListParagraph">
    <w:name w:val="List Paragraph"/>
    <w:basedOn w:val="Normal"/>
    <w:uiPriority w:val="34"/>
    <w:qFormat/>
    <w:rsid w:val="003d106d"/>
    <w:pPr>
      <w:spacing w:before="0" w:after="0"/>
      <w:ind w:start="720"/>
      <w:contextualSpacing/>
    </w:pPr>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rPr>
  </w:style>
  <w:style w:type="paragraph" w:styleId="Default">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eastAsia="zh-CN" w:val="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134</TotalTime>
  <Application>LibreOffice/25.8.5.2$Linux_X86_64 LibreOffice_project/580$Build-2</Application>
  <AppVersion>15.0000</AppVersion>
  <Pages>5</Pages>
  <Words>1313</Words>
  <Characters>7843</Characters>
  <CharactersWithSpaces>9210</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2022-04-20T17:00:00Z</dcterms:created>
  <dc:creator>Rade Kisic</dc:creator>
  <dc:description/>
  <dc:language>en-US</dc:language>
  <cp:lastModifiedBy/>
  <dcterms:modified xsi:type="dcterms:W3CDTF">2026-04-26T20:38:40Z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